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B1" w:rsidRPr="00F64C64" w:rsidRDefault="008811B1" w:rsidP="00B709BF">
      <w:pPr>
        <w:jc w:val="center"/>
        <w:rPr>
          <w:b/>
          <w:bCs/>
          <w:lang w:val="uk-UA"/>
        </w:rPr>
      </w:pPr>
      <w:r w:rsidRPr="00F64C64">
        <w:rPr>
          <w:b/>
          <w:bCs/>
          <w:lang w:val="uk-UA"/>
        </w:rPr>
        <w:t>Повідомлення про проведення</w:t>
      </w:r>
      <w:r w:rsidR="00653E3F">
        <w:rPr>
          <w:b/>
          <w:bCs/>
          <w:lang w:val="uk-UA"/>
        </w:rPr>
        <w:t xml:space="preserve"> позачергових </w:t>
      </w:r>
      <w:r w:rsidRPr="00F64C64">
        <w:rPr>
          <w:b/>
          <w:bCs/>
          <w:lang w:val="uk-UA"/>
        </w:rPr>
        <w:t>загальних зборів акціонерів</w:t>
      </w:r>
    </w:p>
    <w:p w:rsidR="008811B1" w:rsidRPr="00F64C64" w:rsidRDefault="00653E3F" w:rsidP="00B709B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Приватного </w:t>
      </w:r>
      <w:r w:rsidR="008811B1" w:rsidRPr="00F64C64">
        <w:rPr>
          <w:b/>
          <w:bCs/>
          <w:lang w:val="uk-UA"/>
        </w:rPr>
        <w:t>акціонерного товариства «</w:t>
      </w:r>
      <w:r>
        <w:rPr>
          <w:b/>
          <w:bCs/>
          <w:lang w:val="uk-UA"/>
        </w:rPr>
        <w:t>Торговий дім «Україна</w:t>
      </w:r>
      <w:r w:rsidR="008811B1" w:rsidRPr="00F64C64">
        <w:rPr>
          <w:b/>
          <w:bCs/>
          <w:lang w:val="uk-UA"/>
        </w:rPr>
        <w:t xml:space="preserve">» </w:t>
      </w:r>
    </w:p>
    <w:p w:rsidR="008811B1" w:rsidRPr="00F64C64" w:rsidRDefault="008811B1" w:rsidP="00B709BF">
      <w:pPr>
        <w:jc w:val="center"/>
        <w:rPr>
          <w:b/>
          <w:bCs/>
          <w:lang w:val="uk-UA"/>
        </w:rPr>
      </w:pPr>
      <w:r w:rsidRPr="00F64C64">
        <w:rPr>
          <w:b/>
          <w:bCs/>
          <w:lang w:val="uk-UA"/>
        </w:rPr>
        <w:t xml:space="preserve">(ідентифікаційний код: </w:t>
      </w:r>
      <w:r w:rsidR="00653E3F">
        <w:rPr>
          <w:b/>
          <w:bCs/>
          <w:lang w:val="uk-UA"/>
        </w:rPr>
        <w:t>13599122</w:t>
      </w:r>
      <w:r w:rsidRPr="00F64C64">
        <w:rPr>
          <w:b/>
          <w:bCs/>
          <w:lang w:val="uk-UA"/>
        </w:rPr>
        <w:t>),</w:t>
      </w:r>
    </w:p>
    <w:p w:rsidR="008811B1" w:rsidRPr="00F64C64" w:rsidRDefault="008811B1" w:rsidP="00B709BF">
      <w:pPr>
        <w:jc w:val="center"/>
        <w:rPr>
          <w:b/>
          <w:bCs/>
          <w:lang w:val="uk-UA"/>
        </w:rPr>
      </w:pPr>
      <w:r w:rsidRPr="00F64C64">
        <w:rPr>
          <w:b/>
          <w:bCs/>
          <w:lang w:val="uk-UA"/>
        </w:rPr>
        <w:t xml:space="preserve">місцезнаходження:  88000, Закарпатська область (Україна), </w:t>
      </w:r>
    </w:p>
    <w:p w:rsidR="007D1EE4" w:rsidRPr="00F64C64" w:rsidRDefault="008811B1" w:rsidP="00B709BF">
      <w:pPr>
        <w:jc w:val="center"/>
        <w:rPr>
          <w:b/>
          <w:bCs/>
          <w:lang w:val="uk-UA"/>
        </w:rPr>
      </w:pPr>
      <w:r w:rsidRPr="00F64C64">
        <w:rPr>
          <w:b/>
          <w:bCs/>
          <w:lang w:val="uk-UA"/>
        </w:rPr>
        <w:t xml:space="preserve">місто Ужгород, </w:t>
      </w:r>
      <w:r w:rsidR="00653E3F">
        <w:rPr>
          <w:b/>
          <w:bCs/>
          <w:lang w:val="uk-UA"/>
        </w:rPr>
        <w:t>площа Кирила і Мефодія</w:t>
      </w:r>
      <w:r w:rsidRPr="00F64C64">
        <w:rPr>
          <w:b/>
          <w:bCs/>
          <w:lang w:val="uk-UA"/>
        </w:rPr>
        <w:t xml:space="preserve">, будинок </w:t>
      </w:r>
      <w:r w:rsidR="00653E3F">
        <w:rPr>
          <w:b/>
          <w:bCs/>
          <w:lang w:val="uk-UA"/>
        </w:rPr>
        <w:t>3</w:t>
      </w:r>
    </w:p>
    <w:p w:rsidR="008811B1" w:rsidRPr="00F64C64" w:rsidRDefault="008811B1" w:rsidP="00B709BF">
      <w:pPr>
        <w:jc w:val="center"/>
        <w:rPr>
          <w:lang w:val="uk-UA"/>
        </w:rPr>
      </w:pPr>
    </w:p>
    <w:p w:rsidR="00453E59" w:rsidRPr="00F64C64" w:rsidRDefault="00653E3F" w:rsidP="00B709B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Приватне </w:t>
      </w:r>
      <w:r w:rsidR="003B4F7D" w:rsidRPr="00F64C64">
        <w:rPr>
          <w:bCs/>
          <w:lang w:val="uk-UA"/>
        </w:rPr>
        <w:t xml:space="preserve">акціонерне товариство </w:t>
      </w:r>
      <w:r w:rsidR="0051640D" w:rsidRPr="00F64C64">
        <w:rPr>
          <w:bCs/>
          <w:lang w:val="uk-UA"/>
        </w:rPr>
        <w:t>«</w:t>
      </w:r>
      <w:r>
        <w:rPr>
          <w:bCs/>
          <w:lang w:val="uk-UA"/>
        </w:rPr>
        <w:t>Торговий дім «Україна</w:t>
      </w:r>
      <w:r w:rsidR="0051640D" w:rsidRPr="00F64C64">
        <w:rPr>
          <w:bCs/>
          <w:lang w:val="uk-UA"/>
        </w:rPr>
        <w:t>»</w:t>
      </w:r>
      <w:r w:rsidR="003B4F7D" w:rsidRPr="00F64C64">
        <w:rPr>
          <w:bCs/>
          <w:lang w:val="uk-UA"/>
        </w:rPr>
        <w:t xml:space="preserve"> </w:t>
      </w:r>
      <w:r w:rsidR="003B4F7D" w:rsidRPr="00F64C64">
        <w:rPr>
          <w:lang w:val="uk-UA"/>
        </w:rPr>
        <w:t>(</w:t>
      </w:r>
      <w:r w:rsidR="008811B1" w:rsidRPr="00F64C64">
        <w:rPr>
          <w:lang w:val="uk-UA"/>
        </w:rPr>
        <w:t xml:space="preserve">надалі – </w:t>
      </w:r>
      <w:r w:rsidR="006A7CED">
        <w:rPr>
          <w:lang w:val="uk-UA"/>
        </w:rPr>
        <w:t>П</w:t>
      </w:r>
      <w:r w:rsidR="008811B1" w:rsidRPr="00F64C64">
        <w:rPr>
          <w:lang w:val="uk-UA"/>
        </w:rPr>
        <w:t xml:space="preserve">АТ </w:t>
      </w:r>
      <w:r w:rsidR="006A7CED">
        <w:rPr>
          <w:lang w:val="uk-UA"/>
        </w:rPr>
        <w:t xml:space="preserve">ТД </w:t>
      </w:r>
      <w:r w:rsidR="008811B1" w:rsidRPr="00F64C64">
        <w:rPr>
          <w:lang w:val="uk-UA"/>
        </w:rPr>
        <w:t>«</w:t>
      </w:r>
      <w:r w:rsidR="006A7CED">
        <w:rPr>
          <w:lang w:val="uk-UA"/>
        </w:rPr>
        <w:t>Україна</w:t>
      </w:r>
      <w:r w:rsidR="008811B1" w:rsidRPr="00F64C64">
        <w:rPr>
          <w:lang w:val="uk-UA"/>
        </w:rPr>
        <w:t>»</w:t>
      </w:r>
      <w:r w:rsidR="00156BCF" w:rsidRPr="00F64C64">
        <w:rPr>
          <w:lang w:val="uk-UA"/>
        </w:rPr>
        <w:t>, Товариство</w:t>
      </w:r>
      <w:r w:rsidR="003B4F7D" w:rsidRPr="00F64C64">
        <w:rPr>
          <w:lang w:val="uk-UA"/>
        </w:rPr>
        <w:t>), повідомляє про скликання</w:t>
      </w:r>
      <w:r w:rsidR="006A7CED">
        <w:rPr>
          <w:lang w:val="uk-UA"/>
        </w:rPr>
        <w:t xml:space="preserve"> позачергових </w:t>
      </w:r>
      <w:r w:rsidR="003B4F7D" w:rsidRPr="00F64C64">
        <w:rPr>
          <w:lang w:val="uk-UA"/>
        </w:rPr>
        <w:t>загальних зборів акціонерів</w:t>
      </w:r>
      <w:r w:rsidR="009A2AD0" w:rsidRPr="00F64C64">
        <w:rPr>
          <w:lang w:val="uk-UA"/>
        </w:rPr>
        <w:t xml:space="preserve">, </w:t>
      </w:r>
      <w:r w:rsidR="00453E59" w:rsidRPr="00F64C64">
        <w:rPr>
          <w:lang w:val="uk-UA"/>
        </w:rPr>
        <w:t xml:space="preserve">які будуть проведені дистанційно, </w:t>
      </w:r>
      <w:r w:rsidR="00B30205">
        <w:rPr>
          <w:lang w:val="uk-UA"/>
        </w:rPr>
        <w:t>у відповідності</w:t>
      </w:r>
      <w:r w:rsidR="00277B8D">
        <w:rPr>
          <w:lang w:val="uk-UA"/>
        </w:rPr>
        <w:t xml:space="preserve"> </w:t>
      </w:r>
      <w:r w:rsidR="00B30205" w:rsidRPr="003402F3">
        <w:rPr>
          <w:lang w:val="uk-UA"/>
        </w:rPr>
        <w:t xml:space="preserve">до </w:t>
      </w:r>
      <w:r w:rsidR="00B30205" w:rsidRPr="008F76FE">
        <w:rPr>
          <w:bCs/>
          <w:lang w:val="uk-UA"/>
        </w:rPr>
        <w:t>Порядку скликання та проведення дистанційних загальних зборів акціонерів, з</w:t>
      </w:r>
      <w:r w:rsidR="00B30205" w:rsidRPr="003402F3">
        <w:rPr>
          <w:lang w:val="uk-UA"/>
        </w:rPr>
        <w:t>атвердженого рішенням Національної комісії з цінних п</w:t>
      </w:r>
      <w:r w:rsidR="00B30205">
        <w:rPr>
          <w:lang w:val="uk-UA"/>
        </w:rPr>
        <w:t>аперів та фондового ринку від 06 березня 2023 року № 236</w:t>
      </w:r>
      <w:r w:rsidR="00453E59" w:rsidRPr="00F64C64">
        <w:rPr>
          <w:lang w:val="uk-UA"/>
        </w:rPr>
        <w:t xml:space="preserve"> (</w:t>
      </w:r>
      <w:r w:rsidR="002835E1" w:rsidRPr="00F64C64">
        <w:rPr>
          <w:lang w:val="uk-UA"/>
        </w:rPr>
        <w:t>на</w:t>
      </w:r>
      <w:r w:rsidR="00B30205">
        <w:rPr>
          <w:lang w:val="uk-UA"/>
        </w:rPr>
        <w:t>далі –  П</w:t>
      </w:r>
      <w:r w:rsidR="00453E59" w:rsidRPr="00F64C64">
        <w:rPr>
          <w:lang w:val="uk-UA"/>
        </w:rPr>
        <w:t>орядок).</w:t>
      </w:r>
    </w:p>
    <w:p w:rsidR="00686179" w:rsidRPr="00F64C64" w:rsidRDefault="00686179" w:rsidP="00B709BF">
      <w:pPr>
        <w:ind w:firstLine="567"/>
        <w:jc w:val="both"/>
        <w:rPr>
          <w:lang w:val="uk-UA"/>
        </w:rPr>
      </w:pPr>
    </w:p>
    <w:p w:rsidR="00453E59" w:rsidRPr="00F64C64" w:rsidRDefault="00453E5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Дата проведення</w:t>
      </w:r>
      <w:r w:rsidR="00F20F5C">
        <w:rPr>
          <w:lang w:val="uk-UA"/>
        </w:rPr>
        <w:t xml:space="preserve"> позачергових </w:t>
      </w:r>
      <w:r w:rsidRPr="00F64C64">
        <w:rPr>
          <w:lang w:val="uk-UA"/>
        </w:rPr>
        <w:t>загальних зборів</w:t>
      </w:r>
      <w:r w:rsidR="00556ED4" w:rsidRPr="00F64C64">
        <w:rPr>
          <w:lang w:val="uk-UA"/>
        </w:rPr>
        <w:t xml:space="preserve"> акціонерів </w:t>
      </w:r>
      <w:r w:rsidRPr="00F64C64">
        <w:rPr>
          <w:lang w:val="uk-UA"/>
        </w:rPr>
        <w:t>(д</w:t>
      </w:r>
      <w:r w:rsidR="00F66EBF" w:rsidRPr="00F64C64">
        <w:rPr>
          <w:lang w:val="uk-UA"/>
        </w:rPr>
        <w:t xml:space="preserve">ата завершення голосування)– </w:t>
      </w:r>
      <w:r w:rsidR="005B0DBD">
        <w:rPr>
          <w:lang w:val="uk-UA"/>
        </w:rPr>
        <w:t xml:space="preserve">14 </w:t>
      </w:r>
      <w:r w:rsidR="00F20F5C">
        <w:rPr>
          <w:lang w:val="uk-UA"/>
        </w:rPr>
        <w:t xml:space="preserve">грудня </w:t>
      </w:r>
      <w:r w:rsidRPr="00F64C64">
        <w:rPr>
          <w:lang w:val="uk-UA"/>
        </w:rPr>
        <w:t>2023 року</w:t>
      </w:r>
      <w:r w:rsidR="00D06E36" w:rsidRPr="00F64C64">
        <w:rPr>
          <w:lang w:val="uk-UA"/>
        </w:rPr>
        <w:t>.</w:t>
      </w:r>
    </w:p>
    <w:p w:rsidR="00686179" w:rsidRPr="00F64C64" w:rsidRDefault="00453E5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Бюлетені для голосування розміщуватимуться у вільному для акціонерів</w:t>
      </w:r>
      <w:r w:rsidR="002835E1" w:rsidRPr="00F64C64">
        <w:rPr>
          <w:lang w:val="uk-UA"/>
        </w:rPr>
        <w:t xml:space="preserve"> </w:t>
      </w:r>
      <w:r w:rsidRPr="00F64C64">
        <w:rPr>
          <w:lang w:val="uk-UA"/>
        </w:rPr>
        <w:t>доступі на</w:t>
      </w:r>
      <w:r w:rsidR="00D06E36" w:rsidRPr="00F64C64">
        <w:rPr>
          <w:lang w:val="uk-UA"/>
        </w:rPr>
        <w:t xml:space="preserve"> </w:t>
      </w:r>
      <w:r w:rsidRPr="00F64C64">
        <w:rPr>
          <w:lang w:val="uk-UA"/>
        </w:rPr>
        <w:t>сторінці</w:t>
      </w:r>
      <w:r w:rsidR="001B370B">
        <w:rPr>
          <w:lang w:val="uk-UA"/>
        </w:rPr>
        <w:t xml:space="preserve"> </w:t>
      </w:r>
      <w:r w:rsidR="001B370B" w:rsidRPr="001B370B">
        <w:rPr>
          <w:lang w:val="uk-UA"/>
        </w:rPr>
        <w:t>http://torgovydim.pat.ua</w:t>
      </w:r>
      <w:r w:rsidR="001B370B">
        <w:rPr>
          <w:lang w:val="uk-UA"/>
        </w:rPr>
        <w:t>.</w:t>
      </w:r>
    </w:p>
    <w:p w:rsidR="00686179" w:rsidRPr="00F64C64" w:rsidRDefault="0068617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Дата розміщення єдиног</w:t>
      </w:r>
      <w:r w:rsidR="00F66EBF" w:rsidRPr="00F64C64">
        <w:rPr>
          <w:lang w:val="uk-UA"/>
        </w:rPr>
        <w:t>о бюлетеня для голосування</w:t>
      </w:r>
      <w:r w:rsidR="00CB60EA" w:rsidRPr="00F64C64">
        <w:rPr>
          <w:lang w:val="uk-UA"/>
        </w:rPr>
        <w:t xml:space="preserve"> </w:t>
      </w:r>
      <w:r w:rsidR="00F66EBF" w:rsidRPr="00F64C64">
        <w:rPr>
          <w:lang w:val="uk-UA"/>
        </w:rPr>
        <w:t>–</w:t>
      </w:r>
      <w:r w:rsidR="0036273C" w:rsidRPr="00F64C64">
        <w:rPr>
          <w:lang w:val="uk-UA"/>
        </w:rPr>
        <w:t xml:space="preserve"> </w:t>
      </w:r>
      <w:r w:rsidR="001B370B">
        <w:rPr>
          <w:lang w:val="uk-UA"/>
        </w:rPr>
        <w:t>0</w:t>
      </w:r>
      <w:r w:rsidR="000D1AE0">
        <w:rPr>
          <w:lang w:val="uk-UA"/>
        </w:rPr>
        <w:t>1</w:t>
      </w:r>
      <w:r w:rsidR="001B370B">
        <w:rPr>
          <w:lang w:val="uk-UA"/>
        </w:rPr>
        <w:t xml:space="preserve"> грудня </w:t>
      </w:r>
      <w:r w:rsidR="00F66EBF" w:rsidRPr="00F64C64">
        <w:rPr>
          <w:lang w:val="uk-UA"/>
        </w:rPr>
        <w:t>2023</w:t>
      </w:r>
      <w:r w:rsidRPr="00F64C64">
        <w:rPr>
          <w:lang w:val="uk-UA"/>
        </w:rPr>
        <w:t xml:space="preserve"> року</w:t>
      </w:r>
      <w:r w:rsidR="00D06E36" w:rsidRPr="00F64C64">
        <w:rPr>
          <w:lang w:val="uk-UA"/>
        </w:rPr>
        <w:t>.</w:t>
      </w:r>
    </w:p>
    <w:p w:rsidR="00453E59" w:rsidRPr="00F64C64" w:rsidRDefault="0068617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Дата складення переліку акціонерів, які мають право на участь у</w:t>
      </w:r>
      <w:r w:rsidR="00124549">
        <w:rPr>
          <w:lang w:val="uk-UA"/>
        </w:rPr>
        <w:t xml:space="preserve"> позачергових </w:t>
      </w:r>
      <w:r w:rsidRPr="00F64C64">
        <w:rPr>
          <w:lang w:val="uk-UA"/>
        </w:rPr>
        <w:t>загальних зборах акціонерів</w:t>
      </w:r>
      <w:r w:rsidR="00556ED4" w:rsidRPr="00F64C64">
        <w:rPr>
          <w:lang w:val="uk-UA"/>
        </w:rPr>
        <w:t xml:space="preserve"> </w:t>
      </w:r>
      <w:r w:rsidR="00F66EBF" w:rsidRPr="00F64C64">
        <w:rPr>
          <w:lang w:val="uk-UA"/>
        </w:rPr>
        <w:t>–</w:t>
      </w:r>
      <w:r w:rsidR="00556ED4" w:rsidRPr="00F64C64">
        <w:rPr>
          <w:lang w:val="uk-UA"/>
        </w:rPr>
        <w:t xml:space="preserve"> </w:t>
      </w:r>
      <w:r w:rsidR="009A5978">
        <w:rPr>
          <w:lang w:val="uk-UA"/>
        </w:rPr>
        <w:t>1</w:t>
      </w:r>
      <w:r w:rsidR="005B0DBD">
        <w:rPr>
          <w:lang w:val="uk-UA"/>
        </w:rPr>
        <w:t>1</w:t>
      </w:r>
      <w:r w:rsidR="009A5978">
        <w:rPr>
          <w:lang w:val="uk-UA"/>
        </w:rPr>
        <w:t xml:space="preserve"> грудня </w:t>
      </w:r>
      <w:r w:rsidRPr="00F64C64">
        <w:rPr>
          <w:lang w:val="uk-UA"/>
        </w:rPr>
        <w:t>2023 року (станом на 2</w:t>
      </w:r>
      <w:r w:rsidR="00F42D0E" w:rsidRPr="00F64C64">
        <w:rPr>
          <w:lang w:val="uk-UA"/>
        </w:rPr>
        <w:t>3</w:t>
      </w:r>
      <w:r w:rsidRPr="00F64C64">
        <w:rPr>
          <w:lang w:val="uk-UA"/>
        </w:rPr>
        <w:t xml:space="preserve"> годину).</w:t>
      </w:r>
    </w:p>
    <w:p w:rsidR="00453E59" w:rsidRPr="00F64C64" w:rsidRDefault="00453E59" w:rsidP="00B709BF">
      <w:pPr>
        <w:ind w:firstLine="567"/>
        <w:jc w:val="center"/>
        <w:rPr>
          <w:lang w:val="uk-UA"/>
        </w:rPr>
      </w:pPr>
    </w:p>
    <w:p w:rsidR="00CB60EA" w:rsidRPr="00F64C64" w:rsidRDefault="00A657AA" w:rsidP="00B709BF">
      <w:pPr>
        <w:jc w:val="center"/>
        <w:rPr>
          <w:b/>
          <w:lang w:val="uk-UA"/>
        </w:rPr>
      </w:pPr>
      <w:r>
        <w:rPr>
          <w:b/>
          <w:lang w:val="uk-UA"/>
        </w:rPr>
        <w:t>ПРОЕКТ</w:t>
      </w:r>
      <w:r w:rsidR="0096383E" w:rsidRPr="00F64C64">
        <w:rPr>
          <w:b/>
          <w:lang w:val="uk-UA"/>
        </w:rPr>
        <w:t xml:space="preserve"> ПОРЯДКУ</w:t>
      </w:r>
      <w:r w:rsidR="00385F11">
        <w:rPr>
          <w:b/>
          <w:lang w:val="uk-UA"/>
        </w:rPr>
        <w:t xml:space="preserve"> </w:t>
      </w:r>
      <w:r w:rsidR="0096383E" w:rsidRPr="00F64C64">
        <w:rPr>
          <w:b/>
          <w:lang w:val="uk-UA"/>
        </w:rPr>
        <w:t>ДЕННОГО</w:t>
      </w:r>
      <w:r w:rsidR="00F42D0E" w:rsidRPr="00F64C64">
        <w:rPr>
          <w:b/>
          <w:lang w:val="uk-UA"/>
        </w:rPr>
        <w:t xml:space="preserve"> ТА </w:t>
      </w:r>
      <w:r>
        <w:rPr>
          <w:b/>
          <w:lang w:val="uk-UA"/>
        </w:rPr>
        <w:t>ПРОЕКТ</w:t>
      </w:r>
      <w:r w:rsidR="00F42D0E" w:rsidRPr="00F64C64">
        <w:rPr>
          <w:b/>
          <w:lang w:val="uk-UA"/>
        </w:rPr>
        <w:t xml:space="preserve">И РІШЕНЬ </w:t>
      </w:r>
    </w:p>
    <w:p w:rsidR="0096383E" w:rsidRPr="00F64C64" w:rsidRDefault="00124549" w:rsidP="00B709BF">
      <w:pPr>
        <w:jc w:val="center"/>
        <w:rPr>
          <w:b/>
          <w:lang w:val="uk-UA"/>
        </w:rPr>
      </w:pPr>
      <w:r>
        <w:rPr>
          <w:b/>
          <w:lang w:val="uk-UA"/>
        </w:rPr>
        <w:t>ПОЗАЧЕРГОВИХ</w:t>
      </w:r>
      <w:r w:rsidR="00385F11">
        <w:rPr>
          <w:b/>
          <w:lang w:val="uk-UA"/>
        </w:rPr>
        <w:t xml:space="preserve"> </w:t>
      </w:r>
      <w:r w:rsidR="0050477E" w:rsidRPr="00F64C64">
        <w:rPr>
          <w:b/>
          <w:lang w:val="uk-UA"/>
        </w:rPr>
        <w:t>ЗАГАЛЬНИХ ЗБОРІВ</w:t>
      </w:r>
      <w:r w:rsidR="00CB60EA" w:rsidRPr="00F64C64">
        <w:rPr>
          <w:b/>
          <w:lang w:val="uk-UA"/>
        </w:rPr>
        <w:t xml:space="preserve"> АКЦІОНЕРІВ</w:t>
      </w:r>
      <w:r w:rsidR="0096383E" w:rsidRPr="00F64C64">
        <w:rPr>
          <w:b/>
          <w:lang w:val="uk-UA"/>
        </w:rPr>
        <w:t>:</w:t>
      </w:r>
    </w:p>
    <w:p w:rsidR="00556ED4" w:rsidRPr="00F64C64" w:rsidRDefault="00556ED4" w:rsidP="00B709BF">
      <w:pPr>
        <w:autoSpaceDE w:val="0"/>
        <w:autoSpaceDN w:val="0"/>
        <w:adjustRightInd w:val="0"/>
      </w:pPr>
    </w:p>
    <w:p w:rsidR="00223D17" w:rsidRPr="00F64C64" w:rsidRDefault="003479A8" w:rsidP="00B709BF">
      <w:pPr>
        <w:numPr>
          <w:ilvl w:val="0"/>
          <w:numId w:val="7"/>
        </w:numPr>
        <w:ind w:left="851" w:hanging="284"/>
        <w:jc w:val="both"/>
        <w:rPr>
          <w:lang w:val="uk-UA"/>
        </w:rPr>
      </w:pPr>
      <w:r w:rsidRPr="00F64C64">
        <w:rPr>
          <w:lang w:val="uk-UA"/>
        </w:rPr>
        <w:t>З</w:t>
      </w:r>
      <w:r w:rsidR="00223D17" w:rsidRPr="00F64C64">
        <w:rPr>
          <w:lang w:val="uk-UA"/>
        </w:rPr>
        <w:t>віт</w:t>
      </w:r>
      <w:r w:rsidR="00A657AA">
        <w:rPr>
          <w:lang w:val="uk-UA"/>
        </w:rPr>
        <w:t xml:space="preserve"> Директора</w:t>
      </w:r>
      <w:r w:rsidR="009A5978">
        <w:rPr>
          <w:lang w:val="uk-UA"/>
        </w:rPr>
        <w:t xml:space="preserve"> </w:t>
      </w:r>
      <w:r w:rsidR="00223D17" w:rsidRPr="00F64C64">
        <w:rPr>
          <w:lang w:val="uk-UA"/>
        </w:rPr>
        <w:t>про результатами фінансово-господарської діяльності Товариства за 202</w:t>
      </w:r>
      <w:r w:rsidR="009A5978">
        <w:rPr>
          <w:lang w:val="uk-UA"/>
        </w:rPr>
        <w:t>0</w:t>
      </w:r>
      <w:r w:rsidR="00223D17" w:rsidRPr="00F64C64">
        <w:rPr>
          <w:lang w:val="uk-UA"/>
        </w:rPr>
        <w:t>-2022 роки. Прийняття рішення за резул</w:t>
      </w:r>
      <w:r w:rsidR="00A657AA">
        <w:rPr>
          <w:lang w:val="uk-UA"/>
        </w:rPr>
        <w:t>ьтатами розгляду звіту Директора</w:t>
      </w:r>
      <w:r w:rsidR="00223D17" w:rsidRPr="00F64C64">
        <w:rPr>
          <w:lang w:val="uk-UA"/>
        </w:rPr>
        <w:t>.</w:t>
      </w:r>
    </w:p>
    <w:p w:rsidR="00E547ED" w:rsidRPr="00F64C64" w:rsidRDefault="00223D17" w:rsidP="00B709BF">
      <w:pPr>
        <w:autoSpaceDE w:val="0"/>
        <w:autoSpaceDN w:val="0"/>
        <w:adjustRightInd w:val="0"/>
        <w:ind w:left="567"/>
        <w:jc w:val="both"/>
        <w:rPr>
          <w:i/>
          <w:lang w:val="uk-UA"/>
        </w:rPr>
      </w:pPr>
      <w:r w:rsidRPr="00F64C64">
        <w:rPr>
          <w:i/>
          <w:lang w:val="uk-UA"/>
        </w:rPr>
        <w:t>Про</w:t>
      </w:r>
      <w:r w:rsidR="00A657AA">
        <w:rPr>
          <w:i/>
          <w:lang w:val="uk-UA"/>
        </w:rPr>
        <w:t>е</w:t>
      </w:r>
      <w:r w:rsidRPr="00F64C64">
        <w:rPr>
          <w:i/>
          <w:lang w:val="uk-UA"/>
        </w:rPr>
        <w:t>кт рішення: Затвердити звіт</w:t>
      </w:r>
      <w:r w:rsidR="00A657AA">
        <w:rPr>
          <w:i/>
          <w:lang w:val="uk-UA"/>
        </w:rPr>
        <w:t xml:space="preserve"> Директора</w:t>
      </w:r>
      <w:r w:rsidR="00ED558D">
        <w:rPr>
          <w:i/>
          <w:lang w:val="uk-UA"/>
        </w:rPr>
        <w:t xml:space="preserve"> </w:t>
      </w:r>
      <w:r w:rsidRPr="00F64C64">
        <w:rPr>
          <w:i/>
          <w:lang w:val="uk-UA"/>
        </w:rPr>
        <w:t>про результати фінансово-господарської діяльності Товариства за 202</w:t>
      </w:r>
      <w:r w:rsidR="009A5978">
        <w:rPr>
          <w:i/>
          <w:lang w:val="uk-UA"/>
        </w:rPr>
        <w:t>0</w:t>
      </w:r>
      <w:r w:rsidRPr="00F64C64">
        <w:rPr>
          <w:i/>
          <w:lang w:val="uk-UA"/>
        </w:rPr>
        <w:t>-2022 роки.</w:t>
      </w:r>
    </w:p>
    <w:p w:rsidR="00B13733" w:rsidRPr="00F64C64" w:rsidRDefault="00B13733" w:rsidP="00B709BF">
      <w:pPr>
        <w:autoSpaceDE w:val="0"/>
        <w:autoSpaceDN w:val="0"/>
        <w:adjustRightInd w:val="0"/>
        <w:ind w:left="567"/>
        <w:jc w:val="both"/>
        <w:rPr>
          <w:lang w:val="uk-UA"/>
        </w:rPr>
      </w:pPr>
    </w:p>
    <w:p w:rsidR="00B13733" w:rsidRPr="00F64C64" w:rsidRDefault="003479A8" w:rsidP="00B709BF">
      <w:pPr>
        <w:numPr>
          <w:ilvl w:val="0"/>
          <w:numId w:val="7"/>
        </w:numPr>
        <w:ind w:left="851" w:hanging="284"/>
        <w:jc w:val="both"/>
        <w:rPr>
          <w:lang w:val="uk-UA"/>
        </w:rPr>
      </w:pPr>
      <w:r w:rsidRPr="00F64C64">
        <w:rPr>
          <w:lang w:val="uk-UA"/>
        </w:rPr>
        <w:t>З</w:t>
      </w:r>
      <w:r w:rsidR="00B13733" w:rsidRPr="00F64C64">
        <w:rPr>
          <w:lang w:val="uk-UA"/>
        </w:rPr>
        <w:t>віт наглядової ради Товариства про роботу у 202</w:t>
      </w:r>
      <w:r w:rsidR="009A5978">
        <w:rPr>
          <w:lang w:val="uk-UA"/>
        </w:rPr>
        <w:t>0</w:t>
      </w:r>
      <w:r w:rsidR="00B13733" w:rsidRPr="00F64C64">
        <w:rPr>
          <w:lang w:val="uk-UA"/>
        </w:rPr>
        <w:t>-2022 роках. Прийняття рішення за результатами розгляду звіту наглядової ради.</w:t>
      </w:r>
    </w:p>
    <w:p w:rsidR="00B13733" w:rsidRPr="00F64C64" w:rsidRDefault="00A657AA" w:rsidP="00B709BF">
      <w:pPr>
        <w:autoSpaceDE w:val="0"/>
        <w:autoSpaceDN w:val="0"/>
        <w:adjustRightInd w:val="0"/>
        <w:ind w:left="567"/>
        <w:jc w:val="both"/>
        <w:rPr>
          <w:i/>
          <w:lang w:val="uk-UA"/>
        </w:rPr>
      </w:pPr>
      <w:r>
        <w:rPr>
          <w:i/>
          <w:lang w:val="uk-UA"/>
        </w:rPr>
        <w:t>Проект</w:t>
      </w:r>
      <w:r w:rsidR="00B13733" w:rsidRPr="00F64C64">
        <w:rPr>
          <w:i/>
          <w:lang w:val="uk-UA"/>
        </w:rPr>
        <w:t xml:space="preserve"> рішення: </w:t>
      </w:r>
      <w:r w:rsidR="00C526DD" w:rsidRPr="00F64C64">
        <w:rPr>
          <w:i/>
          <w:lang w:val="uk-UA"/>
        </w:rPr>
        <w:t>З</w:t>
      </w:r>
      <w:r w:rsidR="00B13733" w:rsidRPr="00F64C64">
        <w:rPr>
          <w:i/>
          <w:lang w:val="uk-UA"/>
        </w:rPr>
        <w:t>атвердити звіт наглядової ради Товариства за 202</w:t>
      </w:r>
      <w:r w:rsidR="009A5978">
        <w:rPr>
          <w:i/>
          <w:lang w:val="uk-UA"/>
        </w:rPr>
        <w:t>0</w:t>
      </w:r>
      <w:r w:rsidR="00B13733" w:rsidRPr="00F64C64">
        <w:rPr>
          <w:i/>
          <w:lang w:val="uk-UA"/>
        </w:rPr>
        <w:t>-2022 роки.</w:t>
      </w:r>
    </w:p>
    <w:p w:rsidR="006D370A" w:rsidRPr="00F64C64" w:rsidRDefault="006D370A" w:rsidP="00B709BF">
      <w:pPr>
        <w:autoSpaceDE w:val="0"/>
        <w:autoSpaceDN w:val="0"/>
        <w:adjustRightInd w:val="0"/>
        <w:ind w:left="567"/>
        <w:jc w:val="both"/>
        <w:rPr>
          <w:i/>
          <w:lang w:val="uk-UA"/>
        </w:rPr>
      </w:pPr>
    </w:p>
    <w:p w:rsidR="00124549" w:rsidRDefault="00124549" w:rsidP="00B709BF">
      <w:pPr>
        <w:pStyle w:val="ab"/>
        <w:numPr>
          <w:ilvl w:val="0"/>
          <w:numId w:val="7"/>
        </w:numPr>
        <w:suppressAutoHyphens/>
        <w:ind w:left="993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Схвалення значних правочинів, вчинених Товариством протягом 2020</w:t>
      </w:r>
      <w:r w:rsidR="006A179C">
        <w:rPr>
          <w:b w:val="0"/>
          <w:sz w:val="24"/>
          <w:szCs w:val="24"/>
        </w:rPr>
        <w:t>-2022 років.</w:t>
      </w:r>
    </w:p>
    <w:p w:rsidR="006A179C" w:rsidRDefault="00A657AA" w:rsidP="006A179C">
      <w:pPr>
        <w:pStyle w:val="ab"/>
        <w:suppressAutoHyphens/>
        <w:ind w:left="567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>Проект</w:t>
      </w:r>
      <w:r w:rsidR="006A179C">
        <w:rPr>
          <w:b w:val="0"/>
          <w:i/>
          <w:iCs/>
          <w:sz w:val="24"/>
          <w:szCs w:val="24"/>
        </w:rPr>
        <w:t xml:space="preserve"> рішення: Схвалити значні правочини, вчинені Товариством протягом 2020-2022 років.</w:t>
      </w:r>
    </w:p>
    <w:p w:rsidR="006A179C" w:rsidRPr="006A179C" w:rsidRDefault="006A179C" w:rsidP="006A179C">
      <w:pPr>
        <w:pStyle w:val="ab"/>
        <w:suppressAutoHyphens/>
        <w:ind w:left="567"/>
        <w:jc w:val="both"/>
        <w:rPr>
          <w:b w:val="0"/>
          <w:i/>
          <w:iCs/>
          <w:sz w:val="24"/>
          <w:szCs w:val="24"/>
        </w:rPr>
      </w:pPr>
    </w:p>
    <w:p w:rsidR="00293999" w:rsidRPr="00F64C64" w:rsidRDefault="00F64C64" w:rsidP="00B709BF">
      <w:pPr>
        <w:pStyle w:val="ab"/>
        <w:numPr>
          <w:ilvl w:val="0"/>
          <w:numId w:val="7"/>
        </w:numPr>
        <w:suppressAutoHyphens/>
        <w:ind w:left="993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293999" w:rsidRPr="00F64C64">
        <w:rPr>
          <w:b w:val="0"/>
          <w:sz w:val="24"/>
          <w:szCs w:val="24"/>
        </w:rPr>
        <w:t xml:space="preserve">адання </w:t>
      </w:r>
      <w:r>
        <w:rPr>
          <w:b w:val="0"/>
          <w:sz w:val="24"/>
          <w:szCs w:val="24"/>
        </w:rPr>
        <w:t xml:space="preserve">попередньої </w:t>
      </w:r>
      <w:r w:rsidR="00293999" w:rsidRPr="00F64C64">
        <w:rPr>
          <w:b w:val="0"/>
          <w:sz w:val="24"/>
          <w:szCs w:val="24"/>
        </w:rPr>
        <w:t xml:space="preserve">згоди на вчинення значних правочинів, які можуть вчинятись </w:t>
      </w:r>
      <w:r w:rsidR="00A428F8" w:rsidRPr="00F64C64">
        <w:rPr>
          <w:b w:val="0"/>
          <w:sz w:val="24"/>
          <w:szCs w:val="24"/>
        </w:rPr>
        <w:t xml:space="preserve">Товариством </w:t>
      </w:r>
      <w:r w:rsidR="00293999" w:rsidRPr="00F64C64">
        <w:rPr>
          <w:b w:val="0"/>
          <w:sz w:val="24"/>
          <w:szCs w:val="24"/>
        </w:rPr>
        <w:t xml:space="preserve">в ході </w:t>
      </w:r>
      <w:r w:rsidR="00E025E3">
        <w:rPr>
          <w:b w:val="0"/>
          <w:sz w:val="24"/>
          <w:szCs w:val="24"/>
        </w:rPr>
        <w:t xml:space="preserve">його </w:t>
      </w:r>
      <w:r w:rsidR="00293999" w:rsidRPr="00F64C64">
        <w:rPr>
          <w:b w:val="0"/>
          <w:sz w:val="24"/>
          <w:szCs w:val="24"/>
        </w:rPr>
        <w:t>поточної господарської діяльності протягом одного року з дати</w:t>
      </w:r>
      <w:r w:rsidR="00E025E3">
        <w:rPr>
          <w:b w:val="0"/>
          <w:sz w:val="24"/>
          <w:szCs w:val="24"/>
        </w:rPr>
        <w:t xml:space="preserve"> прийняття цього рішення</w:t>
      </w:r>
      <w:r w:rsidR="00293999" w:rsidRPr="00F64C64">
        <w:rPr>
          <w:b w:val="0"/>
          <w:sz w:val="24"/>
          <w:szCs w:val="24"/>
        </w:rPr>
        <w:t>. Надання повноважень</w:t>
      </w:r>
      <w:r w:rsidR="00C526DD" w:rsidRPr="00F64C64">
        <w:rPr>
          <w:b w:val="0"/>
          <w:sz w:val="24"/>
          <w:szCs w:val="24"/>
        </w:rPr>
        <w:t xml:space="preserve"> </w:t>
      </w:r>
      <w:r w:rsidR="00293999" w:rsidRPr="00F64C64">
        <w:rPr>
          <w:b w:val="0"/>
          <w:sz w:val="24"/>
          <w:szCs w:val="24"/>
        </w:rPr>
        <w:t>директору</w:t>
      </w:r>
      <w:r w:rsidR="00A428F8" w:rsidRPr="00F64C64">
        <w:rPr>
          <w:b w:val="0"/>
          <w:sz w:val="24"/>
          <w:szCs w:val="24"/>
        </w:rPr>
        <w:t xml:space="preserve"> Товариства </w:t>
      </w:r>
      <w:r w:rsidR="00293999" w:rsidRPr="00F64C64">
        <w:rPr>
          <w:b w:val="0"/>
          <w:sz w:val="24"/>
          <w:szCs w:val="24"/>
        </w:rPr>
        <w:t>права на укладання та підписання значних правочинів.</w:t>
      </w:r>
    </w:p>
    <w:p w:rsidR="00691B7D" w:rsidRPr="00F64C64" w:rsidRDefault="00A657AA" w:rsidP="00B709BF">
      <w:pPr>
        <w:ind w:left="567"/>
        <w:jc w:val="both"/>
        <w:rPr>
          <w:i/>
          <w:lang w:val="uk-UA"/>
        </w:rPr>
      </w:pPr>
      <w:r>
        <w:rPr>
          <w:bCs/>
          <w:i/>
          <w:lang w:val="uk-UA"/>
        </w:rPr>
        <w:t>Проект</w:t>
      </w:r>
      <w:r w:rsidR="00293999" w:rsidRPr="00F8235C">
        <w:rPr>
          <w:bCs/>
          <w:i/>
          <w:lang w:val="uk-UA"/>
        </w:rPr>
        <w:t xml:space="preserve"> рішення:</w:t>
      </w:r>
      <w:r w:rsidR="00293999" w:rsidRPr="00F64C64">
        <w:rPr>
          <w:lang w:val="uk-UA"/>
        </w:rPr>
        <w:t xml:space="preserve"> </w:t>
      </w:r>
      <w:r w:rsidR="00C526DD" w:rsidRPr="00F64C64">
        <w:rPr>
          <w:i/>
          <w:iCs/>
          <w:lang w:val="uk-UA"/>
        </w:rPr>
        <w:t>Н</w:t>
      </w:r>
      <w:r w:rsidR="00293999" w:rsidRPr="00F64C64">
        <w:rPr>
          <w:i/>
          <w:lang w:val="uk-UA"/>
        </w:rPr>
        <w:t>адати</w:t>
      </w:r>
      <w:r w:rsidR="00645221">
        <w:rPr>
          <w:i/>
          <w:lang w:val="uk-UA"/>
        </w:rPr>
        <w:t xml:space="preserve"> </w:t>
      </w:r>
      <w:r w:rsidR="00293999" w:rsidRPr="00F64C64">
        <w:rPr>
          <w:i/>
          <w:lang w:val="uk-UA"/>
        </w:rPr>
        <w:t xml:space="preserve">попередню згоду на вчинення </w:t>
      </w:r>
      <w:r w:rsidR="00645221">
        <w:rPr>
          <w:i/>
          <w:lang w:val="uk-UA"/>
        </w:rPr>
        <w:t xml:space="preserve">Товариством </w:t>
      </w:r>
      <w:r w:rsidR="00293999" w:rsidRPr="00F64C64">
        <w:rPr>
          <w:i/>
          <w:lang w:val="uk-UA"/>
        </w:rPr>
        <w:t>значних правочинів</w:t>
      </w:r>
      <w:r w:rsidR="00645221">
        <w:rPr>
          <w:i/>
          <w:lang w:val="uk-UA"/>
        </w:rPr>
        <w:t xml:space="preserve"> </w:t>
      </w:r>
      <w:r w:rsidR="00293999" w:rsidRPr="00F64C64">
        <w:rPr>
          <w:i/>
          <w:lang w:val="uk-UA"/>
        </w:rPr>
        <w:t>(в т</w:t>
      </w:r>
      <w:r w:rsidR="0095740A">
        <w:rPr>
          <w:i/>
          <w:lang w:val="uk-UA"/>
        </w:rPr>
        <w:t>ому числі</w:t>
      </w:r>
      <w:r w:rsidR="00293999" w:rsidRPr="00F64C64">
        <w:rPr>
          <w:i/>
          <w:lang w:val="uk-UA"/>
        </w:rPr>
        <w:t>, але не обмежуючись</w:t>
      </w:r>
      <w:r w:rsidR="00F833D9" w:rsidRPr="00F64C64">
        <w:rPr>
          <w:i/>
          <w:lang w:val="uk-UA"/>
        </w:rPr>
        <w:t>:</w:t>
      </w:r>
      <w:r w:rsidR="00293999" w:rsidRPr="00F64C64">
        <w:rPr>
          <w:i/>
          <w:lang w:val="uk-UA"/>
        </w:rPr>
        <w:t xml:space="preserve"> правочин</w:t>
      </w:r>
      <w:r w:rsidR="00F833D9" w:rsidRPr="00F64C64">
        <w:rPr>
          <w:i/>
          <w:lang w:val="uk-UA"/>
        </w:rPr>
        <w:t>ів</w:t>
      </w:r>
      <w:r w:rsidR="006F267B" w:rsidRPr="00F64C64">
        <w:rPr>
          <w:i/>
          <w:lang w:val="uk-UA"/>
        </w:rPr>
        <w:t xml:space="preserve"> щодо </w:t>
      </w:r>
      <w:r w:rsidR="00293999" w:rsidRPr="00F64C64">
        <w:rPr>
          <w:i/>
          <w:lang w:val="uk-UA"/>
        </w:rPr>
        <w:t>придбання, відчуження, оренду, лізинг майна,</w:t>
      </w:r>
      <w:r w:rsidR="009F2974">
        <w:rPr>
          <w:i/>
          <w:lang w:val="uk-UA"/>
        </w:rPr>
        <w:t xml:space="preserve"> </w:t>
      </w:r>
      <w:r w:rsidR="00293999" w:rsidRPr="00F64C64">
        <w:rPr>
          <w:i/>
          <w:lang w:val="uk-UA"/>
        </w:rPr>
        <w:t>надання та отримання позик, кредитів, отримання гарантій та акредитивів, продовження строків, термінів дії, перегляд істотних умов таких</w:t>
      </w:r>
      <w:r w:rsidR="00D90758">
        <w:rPr>
          <w:i/>
          <w:lang w:val="uk-UA"/>
        </w:rPr>
        <w:t xml:space="preserve"> </w:t>
      </w:r>
      <w:r w:rsidR="00293999" w:rsidRPr="00F64C64">
        <w:rPr>
          <w:i/>
          <w:lang w:val="uk-UA"/>
        </w:rPr>
        <w:t xml:space="preserve">правочинів), предметом яких є майно, </w:t>
      </w:r>
      <w:r w:rsidR="009F2974">
        <w:rPr>
          <w:i/>
          <w:lang w:val="uk-UA"/>
        </w:rPr>
        <w:t xml:space="preserve">майнові права, </w:t>
      </w:r>
      <w:r w:rsidR="00293999" w:rsidRPr="00F64C64">
        <w:rPr>
          <w:i/>
          <w:lang w:val="uk-UA"/>
        </w:rPr>
        <w:t>грошові кошти, роботи або послуги, ринкова вартість кожного з яких (правочинів) перевищує</w:t>
      </w:r>
      <w:r w:rsidR="002312A0">
        <w:rPr>
          <w:i/>
          <w:lang w:val="uk-UA"/>
        </w:rPr>
        <w:t xml:space="preserve"> 25 </w:t>
      </w:r>
      <w:r w:rsidR="00F833D9" w:rsidRPr="00F64C64">
        <w:rPr>
          <w:i/>
          <w:lang w:val="uk-UA"/>
        </w:rPr>
        <w:t xml:space="preserve">(двадцять п’ять) </w:t>
      </w:r>
      <w:r w:rsidR="0095740A">
        <w:rPr>
          <w:i/>
          <w:lang w:val="uk-UA"/>
        </w:rPr>
        <w:t xml:space="preserve">чи 50 (п’ятдесят) </w:t>
      </w:r>
      <w:r w:rsidR="00293999" w:rsidRPr="00F64C64">
        <w:rPr>
          <w:i/>
          <w:lang w:val="uk-UA"/>
        </w:rPr>
        <w:t>відсотків</w:t>
      </w:r>
      <w:r w:rsidR="00F833D9" w:rsidRPr="00F64C64">
        <w:rPr>
          <w:i/>
          <w:lang w:val="uk-UA"/>
        </w:rPr>
        <w:t xml:space="preserve"> </w:t>
      </w:r>
      <w:r w:rsidR="00293999" w:rsidRPr="00F64C64">
        <w:rPr>
          <w:i/>
          <w:lang w:val="uk-UA"/>
        </w:rPr>
        <w:t>вартості активів</w:t>
      </w:r>
      <w:r w:rsidR="0095740A">
        <w:rPr>
          <w:i/>
          <w:lang w:val="uk-UA"/>
        </w:rPr>
        <w:t xml:space="preserve"> </w:t>
      </w:r>
      <w:r w:rsidR="00E025E3">
        <w:rPr>
          <w:i/>
          <w:lang w:val="uk-UA"/>
        </w:rPr>
        <w:t xml:space="preserve">Товариства </w:t>
      </w:r>
      <w:r w:rsidR="00293999" w:rsidRPr="00F64C64">
        <w:rPr>
          <w:i/>
          <w:lang w:val="uk-UA"/>
        </w:rPr>
        <w:t>за даними останньої річної фінансової звітності</w:t>
      </w:r>
      <w:r w:rsidR="00A428F8" w:rsidRPr="00F64C64">
        <w:rPr>
          <w:i/>
          <w:lang w:val="uk-UA"/>
        </w:rPr>
        <w:t xml:space="preserve"> Товариства</w:t>
      </w:r>
      <w:r w:rsidR="00293999" w:rsidRPr="00F64C64">
        <w:rPr>
          <w:i/>
          <w:lang w:val="uk-UA"/>
        </w:rPr>
        <w:t xml:space="preserve">. Гранична сукупна вартість таких правочинів не повинна перевищувати </w:t>
      </w:r>
      <w:r w:rsidR="00DE78FA" w:rsidRPr="00F64C64">
        <w:rPr>
          <w:i/>
          <w:lang w:val="uk-UA"/>
        </w:rPr>
        <w:t>10</w:t>
      </w:r>
      <w:r w:rsidR="00293999" w:rsidRPr="00F64C64">
        <w:rPr>
          <w:i/>
          <w:lang w:val="uk-UA"/>
        </w:rPr>
        <w:t>0</w:t>
      </w:r>
      <w:r w:rsidR="00DE78FA" w:rsidRPr="00F64C64">
        <w:rPr>
          <w:i/>
          <w:lang w:val="uk-UA"/>
        </w:rPr>
        <w:t> </w:t>
      </w:r>
      <w:r w:rsidR="00293999" w:rsidRPr="00F64C64">
        <w:rPr>
          <w:i/>
          <w:lang w:val="uk-UA"/>
        </w:rPr>
        <w:t>000</w:t>
      </w:r>
      <w:r w:rsidR="00DE78FA" w:rsidRPr="00F64C64">
        <w:rPr>
          <w:i/>
          <w:lang w:val="uk-UA"/>
        </w:rPr>
        <w:t xml:space="preserve"> </w:t>
      </w:r>
      <w:r w:rsidR="00293999" w:rsidRPr="00F64C64">
        <w:rPr>
          <w:i/>
          <w:lang w:val="uk-UA"/>
        </w:rPr>
        <w:t>000</w:t>
      </w:r>
      <w:r w:rsidR="00DE78FA" w:rsidRPr="00F64C64">
        <w:rPr>
          <w:i/>
          <w:lang w:val="uk-UA"/>
        </w:rPr>
        <w:t>,00</w:t>
      </w:r>
      <w:r w:rsidR="00293999" w:rsidRPr="00F64C64">
        <w:rPr>
          <w:i/>
          <w:lang w:val="uk-UA"/>
        </w:rPr>
        <w:t xml:space="preserve"> (</w:t>
      </w:r>
      <w:r w:rsidR="00DE78FA" w:rsidRPr="00F64C64">
        <w:rPr>
          <w:i/>
          <w:lang w:val="uk-UA"/>
        </w:rPr>
        <w:t xml:space="preserve">Сто </w:t>
      </w:r>
      <w:r w:rsidR="00293999" w:rsidRPr="00F64C64">
        <w:rPr>
          <w:i/>
          <w:lang w:val="uk-UA"/>
        </w:rPr>
        <w:t>мільйонів</w:t>
      </w:r>
      <w:r w:rsidR="00DE78FA" w:rsidRPr="00F64C64">
        <w:rPr>
          <w:i/>
          <w:lang w:val="uk-UA"/>
        </w:rPr>
        <w:t xml:space="preserve"> гривень 00 копійок</w:t>
      </w:r>
      <w:r w:rsidR="00293999" w:rsidRPr="00F64C64">
        <w:rPr>
          <w:i/>
          <w:lang w:val="uk-UA"/>
        </w:rPr>
        <w:t>) гр</w:t>
      </w:r>
      <w:r w:rsidR="00D90758">
        <w:rPr>
          <w:i/>
          <w:lang w:val="uk-UA"/>
        </w:rPr>
        <w:t>ивень</w:t>
      </w:r>
      <w:r w:rsidR="00293999" w:rsidRPr="00F64C64">
        <w:rPr>
          <w:i/>
          <w:lang w:val="uk-UA"/>
        </w:rPr>
        <w:t>. Вказані значні правочини можуть вчинятися</w:t>
      </w:r>
      <w:r w:rsidR="00A428F8" w:rsidRPr="00F64C64">
        <w:rPr>
          <w:i/>
          <w:lang w:val="uk-UA"/>
        </w:rPr>
        <w:t xml:space="preserve"> Товариством </w:t>
      </w:r>
      <w:r w:rsidR="00293999" w:rsidRPr="00F64C64">
        <w:rPr>
          <w:i/>
          <w:lang w:val="uk-UA"/>
        </w:rPr>
        <w:t>протягом не більш як одного року з дати</w:t>
      </w:r>
      <w:r w:rsidR="00645221">
        <w:rPr>
          <w:i/>
          <w:lang w:val="uk-UA"/>
        </w:rPr>
        <w:t xml:space="preserve"> прийняття </w:t>
      </w:r>
      <w:r w:rsidR="00293999" w:rsidRPr="00F64C64">
        <w:rPr>
          <w:i/>
          <w:lang w:val="uk-UA"/>
        </w:rPr>
        <w:t>цього рішення.</w:t>
      </w:r>
      <w:r w:rsidR="00DE78FA" w:rsidRPr="00F64C64">
        <w:rPr>
          <w:i/>
          <w:lang w:val="uk-UA"/>
        </w:rPr>
        <w:t xml:space="preserve"> </w:t>
      </w:r>
      <w:r w:rsidR="00293999" w:rsidRPr="00F64C64">
        <w:rPr>
          <w:i/>
          <w:lang w:val="uk-UA"/>
        </w:rPr>
        <w:t>Уповноважити</w:t>
      </w:r>
      <w:r w:rsidR="0041119D" w:rsidRPr="00F64C64">
        <w:rPr>
          <w:i/>
          <w:lang w:val="uk-UA"/>
        </w:rPr>
        <w:t xml:space="preserve"> </w:t>
      </w:r>
      <w:r w:rsidR="00293999" w:rsidRPr="00F64C64">
        <w:rPr>
          <w:i/>
          <w:lang w:val="uk-UA"/>
        </w:rPr>
        <w:t>директора</w:t>
      </w:r>
      <w:r w:rsidR="00A428F8" w:rsidRPr="00F64C64">
        <w:rPr>
          <w:i/>
          <w:lang w:val="uk-UA"/>
        </w:rPr>
        <w:t xml:space="preserve"> Товариства </w:t>
      </w:r>
      <w:r w:rsidR="00293999" w:rsidRPr="00F64C64">
        <w:rPr>
          <w:i/>
          <w:lang w:val="uk-UA"/>
        </w:rPr>
        <w:t>самостійно визначати умови значних правочинів, на які надана попередня згода, та надати йому повноваження на укладання і підписання зазначених правочинів</w:t>
      </w:r>
      <w:r w:rsidR="00DE78FA" w:rsidRPr="00F64C64">
        <w:rPr>
          <w:i/>
          <w:lang w:val="uk-UA"/>
        </w:rPr>
        <w:t>.</w:t>
      </w:r>
    </w:p>
    <w:p w:rsidR="00A2798F" w:rsidRPr="00F64C64" w:rsidRDefault="00A2798F" w:rsidP="00B709BF">
      <w:pPr>
        <w:ind w:left="567"/>
        <w:jc w:val="both"/>
        <w:rPr>
          <w:b/>
          <w:lang w:val="uk-UA"/>
        </w:rPr>
      </w:pPr>
    </w:p>
    <w:p w:rsidR="003A39C9" w:rsidRPr="003A39C9" w:rsidRDefault="003A39C9" w:rsidP="003A39C9">
      <w:pPr>
        <w:pStyle w:val="af1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3A39C9">
        <w:rPr>
          <w:b w:val="0"/>
          <w:sz w:val="24"/>
          <w:szCs w:val="24"/>
        </w:rPr>
        <w:lastRenderedPageBreak/>
        <w:t xml:space="preserve">Проведення державної реєстрації змін до відомостей та інформації про Товариство, </w:t>
      </w:r>
      <w:r w:rsidR="009F56AF">
        <w:rPr>
          <w:b w:val="0"/>
          <w:sz w:val="24"/>
          <w:szCs w:val="24"/>
        </w:rPr>
        <w:t>пов’язаних з</w:t>
      </w:r>
      <w:r w:rsidR="00841975">
        <w:rPr>
          <w:b w:val="0"/>
          <w:sz w:val="24"/>
          <w:szCs w:val="24"/>
        </w:rPr>
        <w:t>і зміною</w:t>
      </w:r>
      <w:r w:rsidR="00E76AA5">
        <w:rPr>
          <w:b w:val="0"/>
          <w:sz w:val="24"/>
          <w:szCs w:val="24"/>
        </w:rPr>
        <w:t xml:space="preserve"> </w:t>
      </w:r>
      <w:r w:rsidR="00841975">
        <w:rPr>
          <w:b w:val="0"/>
          <w:sz w:val="24"/>
          <w:szCs w:val="24"/>
        </w:rPr>
        <w:t xml:space="preserve">видів </w:t>
      </w:r>
      <w:r w:rsidR="00E76AA5">
        <w:rPr>
          <w:b w:val="0"/>
          <w:sz w:val="24"/>
          <w:szCs w:val="24"/>
        </w:rPr>
        <w:t xml:space="preserve">економічної </w:t>
      </w:r>
      <w:r w:rsidR="00841975">
        <w:rPr>
          <w:b w:val="0"/>
          <w:sz w:val="24"/>
          <w:szCs w:val="24"/>
        </w:rPr>
        <w:t>діяльності</w:t>
      </w:r>
      <w:r w:rsidR="002312A0">
        <w:rPr>
          <w:b w:val="0"/>
          <w:sz w:val="24"/>
          <w:szCs w:val="24"/>
        </w:rPr>
        <w:t xml:space="preserve"> </w:t>
      </w:r>
      <w:r w:rsidR="00E76AA5">
        <w:rPr>
          <w:b w:val="0"/>
          <w:sz w:val="24"/>
          <w:szCs w:val="24"/>
        </w:rPr>
        <w:t>та зміною інформації для з</w:t>
      </w:r>
      <w:r w:rsidR="002312A0">
        <w:rPr>
          <w:b w:val="0"/>
          <w:sz w:val="24"/>
          <w:szCs w:val="24"/>
        </w:rPr>
        <w:t>дійснення зв’язку</w:t>
      </w:r>
      <w:r w:rsidR="00B10218">
        <w:rPr>
          <w:b w:val="0"/>
          <w:sz w:val="24"/>
          <w:szCs w:val="24"/>
        </w:rPr>
        <w:t xml:space="preserve">, </w:t>
      </w:r>
      <w:r w:rsidR="009F56AF">
        <w:rPr>
          <w:b w:val="0"/>
          <w:sz w:val="24"/>
          <w:szCs w:val="24"/>
        </w:rPr>
        <w:t xml:space="preserve">що </w:t>
      </w:r>
      <w:r w:rsidRPr="003A39C9">
        <w:rPr>
          <w:b w:val="0"/>
          <w:sz w:val="24"/>
          <w:szCs w:val="24"/>
        </w:rPr>
        <w:t>містяться в Єдиному державному реєстрі юридичних осіб, фізичних осіб</w:t>
      </w:r>
      <w:r w:rsidR="003554FE">
        <w:rPr>
          <w:b w:val="0"/>
          <w:sz w:val="24"/>
          <w:szCs w:val="24"/>
        </w:rPr>
        <w:t xml:space="preserve"> </w:t>
      </w:r>
      <w:r w:rsidRPr="003A39C9">
        <w:rPr>
          <w:b w:val="0"/>
          <w:sz w:val="24"/>
          <w:szCs w:val="24"/>
        </w:rPr>
        <w:t>-</w:t>
      </w:r>
      <w:r w:rsidR="003554FE">
        <w:rPr>
          <w:b w:val="0"/>
          <w:sz w:val="24"/>
          <w:szCs w:val="24"/>
        </w:rPr>
        <w:t xml:space="preserve"> </w:t>
      </w:r>
      <w:r w:rsidRPr="003A39C9">
        <w:rPr>
          <w:b w:val="0"/>
          <w:sz w:val="24"/>
          <w:szCs w:val="24"/>
        </w:rPr>
        <w:t>підприємців та громадських формувань.</w:t>
      </w:r>
    </w:p>
    <w:p w:rsidR="000265A2" w:rsidRDefault="00A657AA" w:rsidP="00613A3B">
      <w:pPr>
        <w:pStyle w:val="af1"/>
        <w:ind w:left="567"/>
        <w:jc w:val="both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>Проект</w:t>
      </w:r>
      <w:r w:rsidR="003A39C9" w:rsidRPr="00613A3B">
        <w:rPr>
          <w:b w:val="0"/>
          <w:i/>
          <w:iCs/>
          <w:sz w:val="24"/>
          <w:szCs w:val="24"/>
        </w:rPr>
        <w:t xml:space="preserve"> рішення: Провести державну реєстрації змін </w:t>
      </w:r>
      <w:bookmarkStart w:id="0" w:name="_Hlk128061764"/>
      <w:r w:rsidR="003A39C9" w:rsidRPr="00613A3B">
        <w:rPr>
          <w:b w:val="0"/>
          <w:i/>
          <w:iCs/>
          <w:sz w:val="24"/>
          <w:szCs w:val="24"/>
        </w:rPr>
        <w:t>до відомостей</w:t>
      </w:r>
      <w:r w:rsidR="00337AF5">
        <w:rPr>
          <w:b w:val="0"/>
          <w:i/>
          <w:iCs/>
          <w:sz w:val="24"/>
          <w:szCs w:val="24"/>
        </w:rPr>
        <w:t xml:space="preserve"> </w:t>
      </w:r>
      <w:r w:rsidR="003A39C9" w:rsidRPr="00613A3B">
        <w:rPr>
          <w:b w:val="0"/>
          <w:i/>
          <w:iCs/>
          <w:sz w:val="24"/>
          <w:szCs w:val="24"/>
        </w:rPr>
        <w:t>про Товариство, що містяться в Єдиному державному реєстрі юридичних осіб, фізичних осіб-</w:t>
      </w:r>
      <w:r w:rsidR="003554FE">
        <w:rPr>
          <w:b w:val="0"/>
          <w:i/>
          <w:iCs/>
          <w:sz w:val="24"/>
          <w:szCs w:val="24"/>
        </w:rPr>
        <w:t xml:space="preserve"> </w:t>
      </w:r>
      <w:r w:rsidR="003A39C9" w:rsidRPr="00613A3B">
        <w:rPr>
          <w:b w:val="0"/>
          <w:i/>
          <w:iCs/>
          <w:sz w:val="24"/>
          <w:szCs w:val="24"/>
        </w:rPr>
        <w:t>підприємців та громадських формувань</w:t>
      </w:r>
      <w:bookmarkEnd w:id="0"/>
      <w:r w:rsidR="00A34213">
        <w:rPr>
          <w:b w:val="0"/>
          <w:i/>
          <w:iCs/>
          <w:sz w:val="24"/>
          <w:szCs w:val="24"/>
        </w:rPr>
        <w:t xml:space="preserve">, </w:t>
      </w:r>
      <w:r w:rsidR="002F5649">
        <w:rPr>
          <w:b w:val="0"/>
          <w:i/>
          <w:iCs/>
          <w:sz w:val="24"/>
          <w:szCs w:val="24"/>
        </w:rPr>
        <w:t xml:space="preserve">доповнивши види </w:t>
      </w:r>
      <w:r w:rsidR="00337AF5">
        <w:rPr>
          <w:b w:val="0"/>
          <w:i/>
          <w:iCs/>
          <w:sz w:val="24"/>
          <w:szCs w:val="24"/>
        </w:rPr>
        <w:t xml:space="preserve">економічної </w:t>
      </w:r>
      <w:r w:rsidR="002F5649">
        <w:rPr>
          <w:b w:val="0"/>
          <w:i/>
          <w:iCs/>
          <w:sz w:val="24"/>
          <w:szCs w:val="24"/>
        </w:rPr>
        <w:t xml:space="preserve">діяльності Товариства наступними </w:t>
      </w:r>
      <w:proofErr w:type="spellStart"/>
      <w:r w:rsidR="002F5649">
        <w:rPr>
          <w:b w:val="0"/>
          <w:i/>
          <w:iCs/>
          <w:sz w:val="24"/>
          <w:szCs w:val="24"/>
        </w:rPr>
        <w:t>КВЕДами</w:t>
      </w:r>
      <w:proofErr w:type="spellEnd"/>
      <w:r w:rsidR="000265A2">
        <w:rPr>
          <w:b w:val="0"/>
          <w:i/>
          <w:iCs/>
          <w:sz w:val="24"/>
          <w:szCs w:val="24"/>
        </w:rPr>
        <w:t>:</w:t>
      </w:r>
      <w:r w:rsidR="00A34213">
        <w:rPr>
          <w:b w:val="0"/>
          <w:i/>
          <w:iCs/>
          <w:sz w:val="24"/>
          <w:szCs w:val="24"/>
        </w:rPr>
        <w:t xml:space="preserve"> </w:t>
      </w:r>
    </w:p>
    <w:p w:rsidR="00BA04E1" w:rsidRPr="00BA04E1" w:rsidRDefault="002F5649" w:rsidP="00442658">
      <w:pPr>
        <w:pStyle w:val="af1"/>
        <w:numPr>
          <w:ilvl w:val="0"/>
          <w:numId w:val="12"/>
        </w:numPr>
        <w:jc w:val="both"/>
      </w:pPr>
      <w:r w:rsidRPr="00BA04E1">
        <w:rPr>
          <w:b w:val="0"/>
          <w:i/>
          <w:iCs/>
          <w:sz w:val="24"/>
          <w:szCs w:val="24"/>
        </w:rPr>
        <w:t xml:space="preserve">46.73 </w:t>
      </w:r>
      <w:r w:rsidR="00421AAE">
        <w:rPr>
          <w:b w:val="0"/>
          <w:i/>
          <w:iCs/>
          <w:sz w:val="24"/>
          <w:szCs w:val="24"/>
        </w:rPr>
        <w:t xml:space="preserve">– </w:t>
      </w:r>
      <w:r w:rsidRPr="00BA04E1">
        <w:rPr>
          <w:b w:val="0"/>
          <w:i/>
          <w:iCs/>
          <w:sz w:val="24"/>
          <w:szCs w:val="24"/>
        </w:rPr>
        <w:t>оптова торгівля деревиною, будівельними матеріалами та санітарно-технічним обладнанням</w:t>
      </w:r>
      <w:r w:rsidR="000265A2" w:rsidRPr="00BA04E1">
        <w:rPr>
          <w:b w:val="0"/>
          <w:i/>
          <w:iCs/>
          <w:sz w:val="24"/>
          <w:szCs w:val="24"/>
        </w:rPr>
        <w:t>;</w:t>
      </w:r>
    </w:p>
    <w:p w:rsidR="00421AAE" w:rsidRPr="00421AAE" w:rsidRDefault="00BA04E1" w:rsidP="00C24C08">
      <w:pPr>
        <w:pStyle w:val="af1"/>
        <w:numPr>
          <w:ilvl w:val="0"/>
          <w:numId w:val="12"/>
        </w:numPr>
        <w:jc w:val="both"/>
        <w:rPr>
          <w:b w:val="0"/>
          <w:i/>
          <w:iCs/>
          <w:sz w:val="24"/>
          <w:szCs w:val="24"/>
        </w:rPr>
      </w:pPr>
      <w:r w:rsidRPr="00421AAE">
        <w:rPr>
          <w:b w:val="0"/>
          <w:i/>
          <w:iCs/>
          <w:sz w:val="24"/>
          <w:szCs w:val="24"/>
        </w:rPr>
        <w:t xml:space="preserve">46.74 </w:t>
      </w:r>
      <w:r w:rsidR="00421AAE">
        <w:rPr>
          <w:b w:val="0"/>
          <w:i/>
          <w:iCs/>
          <w:sz w:val="24"/>
          <w:szCs w:val="24"/>
        </w:rPr>
        <w:t xml:space="preserve">– </w:t>
      </w:r>
      <w:r w:rsidRPr="00421AAE">
        <w:rPr>
          <w:b w:val="0"/>
          <w:i/>
          <w:iCs/>
          <w:sz w:val="24"/>
          <w:szCs w:val="24"/>
        </w:rPr>
        <w:t>о</w:t>
      </w:r>
      <w:r w:rsidRPr="00421AAE">
        <w:rPr>
          <w:b w:val="0"/>
          <w:bCs/>
          <w:i/>
          <w:iCs/>
          <w:sz w:val="24"/>
          <w:szCs w:val="24"/>
        </w:rPr>
        <w:t xml:space="preserve">птова торгівля залізними виробами, водопровідним і опалювальним </w:t>
      </w:r>
      <w:proofErr w:type="spellStart"/>
      <w:r w:rsidRPr="00421AAE">
        <w:rPr>
          <w:b w:val="0"/>
          <w:bCs/>
          <w:i/>
          <w:iCs/>
          <w:sz w:val="24"/>
          <w:szCs w:val="24"/>
        </w:rPr>
        <w:t>устаткованням</w:t>
      </w:r>
      <w:proofErr w:type="spellEnd"/>
      <w:r w:rsidRPr="00421AAE">
        <w:rPr>
          <w:b w:val="0"/>
          <w:bCs/>
          <w:i/>
          <w:iCs/>
          <w:sz w:val="24"/>
          <w:szCs w:val="24"/>
        </w:rPr>
        <w:t xml:space="preserve"> і приладдям до нього;</w:t>
      </w:r>
    </w:p>
    <w:p w:rsidR="00421AAE" w:rsidRPr="00421AAE" w:rsidRDefault="00421AAE" w:rsidP="00C24C08">
      <w:pPr>
        <w:pStyle w:val="af1"/>
        <w:numPr>
          <w:ilvl w:val="0"/>
          <w:numId w:val="12"/>
        </w:numPr>
        <w:jc w:val="both"/>
        <w:rPr>
          <w:b w:val="0"/>
          <w:i/>
          <w:iCs/>
          <w:sz w:val="24"/>
          <w:szCs w:val="24"/>
        </w:rPr>
      </w:pPr>
      <w:r w:rsidRPr="00421AAE">
        <w:rPr>
          <w:b w:val="0"/>
          <w:bCs/>
          <w:i/>
          <w:iCs/>
          <w:sz w:val="24"/>
          <w:szCs w:val="24"/>
        </w:rPr>
        <w:t>4</w:t>
      </w:r>
      <w:r w:rsidR="00BE59F4">
        <w:rPr>
          <w:b w:val="0"/>
          <w:bCs/>
          <w:i/>
          <w:iCs/>
          <w:sz w:val="24"/>
          <w:szCs w:val="24"/>
        </w:rPr>
        <w:t>6</w:t>
      </w:r>
      <w:r w:rsidRPr="00421AAE">
        <w:rPr>
          <w:b w:val="0"/>
          <w:bCs/>
          <w:i/>
          <w:iCs/>
          <w:sz w:val="24"/>
          <w:szCs w:val="24"/>
        </w:rPr>
        <w:t>.90 – неспеціалізована оптова торгівля</w:t>
      </w:r>
      <w:r>
        <w:rPr>
          <w:b w:val="0"/>
          <w:bCs/>
          <w:i/>
          <w:iCs/>
          <w:sz w:val="24"/>
          <w:szCs w:val="24"/>
        </w:rPr>
        <w:t>.</w:t>
      </w:r>
    </w:p>
    <w:p w:rsidR="003A39C9" w:rsidRPr="00613A3B" w:rsidRDefault="00366757" w:rsidP="000265A2">
      <w:pPr>
        <w:pStyle w:val="af1"/>
        <w:ind w:left="567"/>
        <w:jc w:val="both"/>
        <w:rPr>
          <w:b w:val="0"/>
          <w:i/>
          <w:iCs/>
          <w:sz w:val="24"/>
          <w:szCs w:val="24"/>
        </w:rPr>
      </w:pPr>
      <w:r w:rsidRPr="00BA04E1">
        <w:rPr>
          <w:b w:val="0"/>
          <w:i/>
          <w:iCs/>
          <w:sz w:val="24"/>
          <w:szCs w:val="24"/>
        </w:rPr>
        <w:t>Провести державну</w:t>
      </w:r>
      <w:r>
        <w:rPr>
          <w:b w:val="0"/>
          <w:i/>
          <w:iCs/>
          <w:sz w:val="24"/>
          <w:szCs w:val="24"/>
        </w:rPr>
        <w:t xml:space="preserve"> реєстрацію</w:t>
      </w:r>
      <w:r w:rsidR="00421AAE">
        <w:rPr>
          <w:b w:val="0"/>
          <w:i/>
          <w:iCs/>
          <w:sz w:val="24"/>
          <w:szCs w:val="24"/>
        </w:rPr>
        <w:t xml:space="preserve"> </w:t>
      </w:r>
      <w:r>
        <w:rPr>
          <w:b w:val="0"/>
          <w:i/>
          <w:iCs/>
          <w:sz w:val="24"/>
          <w:szCs w:val="24"/>
        </w:rPr>
        <w:t>змін</w:t>
      </w:r>
      <w:r w:rsidR="002D025C">
        <w:rPr>
          <w:b w:val="0"/>
          <w:i/>
          <w:iCs/>
          <w:sz w:val="24"/>
          <w:szCs w:val="24"/>
        </w:rPr>
        <w:t xml:space="preserve"> </w:t>
      </w:r>
      <w:r w:rsidR="002D025C" w:rsidRPr="002D025C">
        <w:rPr>
          <w:b w:val="0"/>
          <w:i/>
          <w:iCs/>
          <w:sz w:val="24"/>
          <w:szCs w:val="24"/>
        </w:rPr>
        <w:t>до</w:t>
      </w:r>
      <w:r w:rsidR="00BE59F4">
        <w:rPr>
          <w:b w:val="0"/>
          <w:i/>
          <w:iCs/>
          <w:sz w:val="24"/>
          <w:szCs w:val="24"/>
        </w:rPr>
        <w:t xml:space="preserve"> </w:t>
      </w:r>
      <w:r w:rsidR="002D025C" w:rsidRPr="002D025C">
        <w:rPr>
          <w:b w:val="0"/>
          <w:i/>
          <w:iCs/>
          <w:sz w:val="24"/>
          <w:szCs w:val="24"/>
        </w:rPr>
        <w:t xml:space="preserve">інформації </w:t>
      </w:r>
      <w:r w:rsidR="00BE59F4">
        <w:rPr>
          <w:b w:val="0"/>
          <w:i/>
          <w:iCs/>
          <w:sz w:val="24"/>
          <w:szCs w:val="24"/>
        </w:rPr>
        <w:t xml:space="preserve">для здійснення зв’язку з </w:t>
      </w:r>
      <w:r w:rsidR="002D025C" w:rsidRPr="002D025C">
        <w:rPr>
          <w:b w:val="0"/>
          <w:i/>
          <w:iCs/>
          <w:sz w:val="24"/>
          <w:szCs w:val="24"/>
        </w:rPr>
        <w:t>Товариство</w:t>
      </w:r>
      <w:r w:rsidR="00BE59F4">
        <w:rPr>
          <w:b w:val="0"/>
          <w:i/>
          <w:iCs/>
          <w:sz w:val="24"/>
          <w:szCs w:val="24"/>
        </w:rPr>
        <w:t>м</w:t>
      </w:r>
      <w:r w:rsidR="002D025C" w:rsidRPr="002D025C">
        <w:rPr>
          <w:b w:val="0"/>
          <w:i/>
          <w:iCs/>
          <w:sz w:val="24"/>
          <w:szCs w:val="24"/>
        </w:rPr>
        <w:t>, що міст</w:t>
      </w:r>
      <w:r w:rsidR="00BE59F4">
        <w:rPr>
          <w:b w:val="0"/>
          <w:i/>
          <w:iCs/>
          <w:sz w:val="24"/>
          <w:szCs w:val="24"/>
        </w:rPr>
        <w:t>и</w:t>
      </w:r>
      <w:r w:rsidR="002D025C" w:rsidRPr="002D025C">
        <w:rPr>
          <w:b w:val="0"/>
          <w:i/>
          <w:iCs/>
          <w:sz w:val="24"/>
          <w:szCs w:val="24"/>
        </w:rPr>
        <w:t>ться в Єдиному державному реєстрі юридичних осіб, фізичних осіб- підприємців та громадських формувань</w:t>
      </w:r>
      <w:r w:rsidR="00BE59F4">
        <w:rPr>
          <w:b w:val="0"/>
          <w:i/>
          <w:iCs/>
          <w:sz w:val="24"/>
          <w:szCs w:val="24"/>
        </w:rPr>
        <w:t xml:space="preserve">. </w:t>
      </w:r>
      <w:r w:rsidR="003A39C9" w:rsidRPr="00613A3B">
        <w:rPr>
          <w:b w:val="0"/>
          <w:i/>
          <w:iCs/>
          <w:sz w:val="24"/>
          <w:szCs w:val="24"/>
        </w:rPr>
        <w:t>Уповноважити директора Товариства (з правом передоручення повноважень третім особам) на здійснення всіх необхідних дій та вчинення будь-яких правочинів, пов’язаних з державною реєстрацією змін до відомостей та інформації про Товариство, що містяться в Єдиному державному реєстрі юридичних осіб, фізичних осіб-підприємців та громадських формувань.</w:t>
      </w:r>
    </w:p>
    <w:p w:rsidR="0071775C" w:rsidRPr="00F64C64" w:rsidRDefault="0071775C" w:rsidP="00B709BF">
      <w:pPr>
        <w:ind w:left="720"/>
        <w:jc w:val="both"/>
        <w:rPr>
          <w:lang w:val="uk-UA"/>
        </w:rPr>
      </w:pPr>
    </w:p>
    <w:p w:rsidR="004712E9" w:rsidRPr="00F64C64" w:rsidRDefault="004712E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Акціонери мають право ознайомитись з матеріалами до загальних зборів та документами, необхідними для прийняття рішень з питань, включених до проекту порядку денного, та проектами рішень з питань, що виносяться на голосування. Запит на ознайомлення з документами, необхідними акціонерам для прийняття рішень з питань, включених до проекту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пошти, зазначену в цьому повідомленні нижче. 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запит, із засвідченням документів кваліфікованим електронним підписом.</w:t>
      </w:r>
    </w:p>
    <w:p w:rsidR="004712E9" w:rsidRPr="00F64C64" w:rsidRDefault="004712E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Особа, відповідальна за порядок ознайомлення акціонерів з документами –</w:t>
      </w:r>
      <w:r w:rsidR="00581343">
        <w:rPr>
          <w:lang w:val="uk-UA"/>
        </w:rPr>
        <w:t xml:space="preserve"> директор П</w:t>
      </w:r>
      <w:r w:rsidR="0071775C" w:rsidRPr="00F64C64">
        <w:rPr>
          <w:lang w:val="uk-UA"/>
        </w:rPr>
        <w:t>АТ</w:t>
      </w:r>
      <w:r w:rsidR="00581343">
        <w:rPr>
          <w:lang w:val="uk-UA"/>
        </w:rPr>
        <w:t xml:space="preserve"> ТД </w:t>
      </w:r>
      <w:r w:rsidR="0071775C" w:rsidRPr="00F64C64">
        <w:rPr>
          <w:lang w:val="uk-UA"/>
        </w:rPr>
        <w:t>«</w:t>
      </w:r>
      <w:r w:rsidR="00581343">
        <w:rPr>
          <w:lang w:val="uk-UA"/>
        </w:rPr>
        <w:t>Україна</w:t>
      </w:r>
      <w:r w:rsidR="0071775C" w:rsidRPr="00F64C64">
        <w:rPr>
          <w:lang w:val="uk-UA"/>
        </w:rPr>
        <w:t>»</w:t>
      </w:r>
      <w:r w:rsidR="00581343">
        <w:rPr>
          <w:lang w:val="uk-UA"/>
        </w:rPr>
        <w:t xml:space="preserve"> </w:t>
      </w:r>
      <w:proofErr w:type="spellStart"/>
      <w:r w:rsidR="00581343">
        <w:rPr>
          <w:lang w:val="uk-UA"/>
        </w:rPr>
        <w:t>Куштан</w:t>
      </w:r>
      <w:proofErr w:type="spellEnd"/>
      <w:r w:rsidR="00581343">
        <w:rPr>
          <w:lang w:val="uk-UA"/>
        </w:rPr>
        <w:t xml:space="preserve"> Віталій Васильович</w:t>
      </w:r>
      <w:r w:rsidRPr="00F64C64">
        <w:rPr>
          <w:lang w:val="uk-UA"/>
        </w:rPr>
        <w:t>,  телефони для дові</w:t>
      </w:r>
      <w:r w:rsidR="00372BAC" w:rsidRPr="00F64C64">
        <w:rPr>
          <w:lang w:val="uk-UA"/>
        </w:rPr>
        <w:t>док</w:t>
      </w:r>
      <w:r w:rsidR="0071775C" w:rsidRPr="00F64C64">
        <w:rPr>
          <w:lang w:val="uk-UA"/>
        </w:rPr>
        <w:t xml:space="preserve">: </w:t>
      </w:r>
      <w:r w:rsidR="00372BAC" w:rsidRPr="00F64C64">
        <w:rPr>
          <w:lang w:val="uk-UA"/>
        </w:rPr>
        <w:t>+380505259447</w:t>
      </w:r>
      <w:r w:rsidR="00B17F78" w:rsidRPr="00F64C64">
        <w:rPr>
          <w:lang w:val="uk-UA"/>
        </w:rPr>
        <w:t>.</w:t>
      </w:r>
    </w:p>
    <w:p w:rsidR="004712E9" w:rsidRPr="00AB00C3" w:rsidRDefault="004712E9" w:rsidP="00B709BF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64C64">
        <w:rPr>
          <w:lang w:val="uk-UA"/>
        </w:rPr>
        <w:t>Адреса електронної пошти, на яку акціонер може направити запит щодо ознайомлення з матеріалами під час підготовки до загальних зборів та/або запитання щодо порядку денного загальних зборів та/або направити пропозиції до проекту порядку денного загальних зборів та проектів рішень</w:t>
      </w:r>
      <w:r w:rsidR="00E57D27" w:rsidRPr="00F64C64">
        <w:rPr>
          <w:lang w:val="uk-UA"/>
        </w:rPr>
        <w:t xml:space="preserve"> </w:t>
      </w:r>
      <w:r w:rsidRPr="00F64C64">
        <w:rPr>
          <w:lang w:val="uk-UA"/>
        </w:rPr>
        <w:t>до кожного з питань, що включені до проекту порядку денного:</w:t>
      </w:r>
      <w:r w:rsidR="00AB00C3" w:rsidRPr="00AB00C3">
        <w:t xml:space="preserve"> pattdukraine@gmail.com</w:t>
      </w:r>
      <w:r w:rsidR="00AB00C3">
        <w:rPr>
          <w:lang w:val="uk-UA"/>
        </w:rPr>
        <w:t>.</w:t>
      </w:r>
    </w:p>
    <w:p w:rsidR="004712E9" w:rsidRPr="00F64C64" w:rsidRDefault="004712E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Адреса веб</w:t>
      </w:r>
      <w:r w:rsidR="0099248F" w:rsidRPr="00F64C64">
        <w:rPr>
          <w:lang w:val="uk-UA"/>
        </w:rPr>
        <w:t>-</w:t>
      </w:r>
      <w:r w:rsidRPr="00F64C64">
        <w:rPr>
          <w:lang w:val="uk-UA"/>
        </w:rPr>
        <w:t xml:space="preserve">сайту, на якому розміщена інформація з проектами рішень до кожного з питань, включеного до проекту порядку денного та інша інформація, передбачена чинним законодавством України: </w:t>
      </w:r>
      <w:r w:rsidR="00585E42" w:rsidRPr="00585E42">
        <w:rPr>
          <w:lang w:val="uk-UA"/>
        </w:rPr>
        <w:t>http://torgovydim.pat.ua</w:t>
      </w:r>
      <w:r w:rsidR="00585E42">
        <w:rPr>
          <w:lang w:val="uk-UA"/>
        </w:rPr>
        <w:t>.</w:t>
      </w:r>
    </w:p>
    <w:p w:rsidR="00EE65DF" w:rsidRPr="00F64C64" w:rsidRDefault="00EE65DF" w:rsidP="00B709B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F64C64">
        <w:rPr>
          <w:lang w:val="uk-UA"/>
        </w:rPr>
        <w:t>Акціонери мають право надсилати свої пропозиції до проекту порядку денного за адресою: 8</w:t>
      </w:r>
      <w:r w:rsidR="004F1A0C" w:rsidRPr="00F64C64">
        <w:t>80</w:t>
      </w:r>
      <w:r w:rsidRPr="00F64C64">
        <w:rPr>
          <w:lang w:val="uk-UA"/>
        </w:rPr>
        <w:t>00, Закарпатська область, м</w:t>
      </w:r>
      <w:r w:rsidR="0071775C" w:rsidRPr="00F64C64">
        <w:rPr>
          <w:lang w:val="uk-UA"/>
        </w:rPr>
        <w:t xml:space="preserve">істо </w:t>
      </w:r>
      <w:r w:rsidR="004F1A0C" w:rsidRPr="00F64C64">
        <w:rPr>
          <w:lang w:val="uk-UA"/>
        </w:rPr>
        <w:t>Ужгород</w:t>
      </w:r>
      <w:r w:rsidRPr="00F64C64">
        <w:rPr>
          <w:lang w:val="uk-UA"/>
        </w:rPr>
        <w:t xml:space="preserve">, </w:t>
      </w:r>
      <w:r w:rsidR="00585E42">
        <w:rPr>
          <w:lang w:val="uk-UA"/>
        </w:rPr>
        <w:t>площа Кирила і Мефодія</w:t>
      </w:r>
      <w:r w:rsidR="004F1A0C" w:rsidRPr="00F64C64">
        <w:rPr>
          <w:lang w:val="uk-UA"/>
        </w:rPr>
        <w:t>,</w:t>
      </w:r>
      <w:r w:rsidR="0071775C" w:rsidRPr="00F64C64">
        <w:rPr>
          <w:lang w:val="uk-UA"/>
        </w:rPr>
        <w:t xml:space="preserve"> будинок </w:t>
      </w:r>
      <w:r w:rsidR="00585E42">
        <w:rPr>
          <w:lang w:val="uk-UA"/>
        </w:rPr>
        <w:t>3</w:t>
      </w:r>
      <w:r w:rsidRPr="00F64C64">
        <w:rPr>
          <w:lang w:val="uk-UA"/>
        </w:rPr>
        <w:t>, не пізніше ніж за 20 днів до дня проведення загальних зборів, а також щодо нових кандидатів до складу</w:t>
      </w:r>
      <w:r w:rsidR="00C5216C" w:rsidRPr="00F64C64">
        <w:rPr>
          <w:lang w:val="uk-UA"/>
        </w:rPr>
        <w:t xml:space="preserve"> </w:t>
      </w:r>
      <w:r w:rsidRPr="00F64C64">
        <w:rPr>
          <w:lang w:val="uk-UA"/>
        </w:rPr>
        <w:t>органів</w:t>
      </w:r>
      <w:r w:rsidR="00925885" w:rsidRPr="00F64C64">
        <w:rPr>
          <w:lang w:val="uk-UA"/>
        </w:rPr>
        <w:t xml:space="preserve"> </w:t>
      </w:r>
      <w:r w:rsidR="00A428F8" w:rsidRPr="00F64C64">
        <w:rPr>
          <w:lang w:val="uk-UA"/>
        </w:rPr>
        <w:t xml:space="preserve">Товариства </w:t>
      </w:r>
      <w:r w:rsidRPr="00F64C64">
        <w:rPr>
          <w:lang w:val="uk-UA"/>
        </w:rPr>
        <w:t>не пізніше ніж за 7 днів до дати проведення зборів.</w:t>
      </w:r>
    </w:p>
    <w:p w:rsidR="004712E9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Пропозиції подаються в письмовій формі на адресу за місцезнаходженням</w:t>
      </w:r>
      <w:r w:rsidR="00A428F8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та мають містити прізвище, ім’я, по батькові або найменування акціонера(</w:t>
      </w:r>
      <w:proofErr w:type="spellStart"/>
      <w:r w:rsidRPr="00F64C64">
        <w:rPr>
          <w:lang w:val="uk-UA"/>
        </w:rPr>
        <w:t>ів</w:t>
      </w:r>
      <w:proofErr w:type="spellEnd"/>
      <w:r w:rsidRPr="00F64C64">
        <w:rPr>
          <w:lang w:val="uk-UA"/>
        </w:rPr>
        <w:t xml:space="preserve">), який її вносить, кількість та тип належних йому акцій </w:t>
      </w:r>
      <w:r w:rsidR="00E57D27" w:rsidRPr="00F64C64">
        <w:rPr>
          <w:lang w:val="uk-UA"/>
        </w:rPr>
        <w:t>т</w:t>
      </w:r>
      <w:r w:rsidRPr="00F64C64">
        <w:rPr>
          <w:lang w:val="uk-UA"/>
        </w:rPr>
        <w:t>овариства, запропоноване питання для включення до порядку денного з проектом рішення та/або проект рішення до питання, включеного до порядку денного. Акціонери мають право у встановлений чинним законодавством України строк оскаржувати до суду рішення</w:t>
      </w:r>
      <w:r w:rsidR="00BE59F4">
        <w:rPr>
          <w:lang w:val="uk-UA"/>
        </w:rPr>
        <w:t xml:space="preserve"> </w:t>
      </w:r>
      <w:r w:rsidRPr="00F64C64">
        <w:rPr>
          <w:lang w:val="uk-UA"/>
        </w:rPr>
        <w:t xml:space="preserve">про відмову у включенні їх пропозицій до порядку денного загальних зборів. 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ідентифікацію та </w:t>
      </w:r>
      <w:r w:rsidRPr="00F64C64">
        <w:rPr>
          <w:lang w:val="uk-UA"/>
        </w:rPr>
        <w:lastRenderedPageBreak/>
        <w:t>підтвердження направлення документу особою) на адресу електронної пошти, зазначену в цьому повідомленні вище.</w:t>
      </w:r>
    </w:p>
    <w:p w:rsidR="004712E9" w:rsidRPr="00F64C64" w:rsidRDefault="004712E9" w:rsidP="00B709BF">
      <w:pPr>
        <w:ind w:firstLine="567"/>
        <w:jc w:val="both"/>
        <w:rPr>
          <w:lang w:val="uk-UA"/>
        </w:rPr>
      </w:pP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Голосування на заг</w:t>
      </w:r>
      <w:r w:rsidR="004F1A0C" w:rsidRPr="00F64C64">
        <w:rPr>
          <w:lang w:val="uk-UA"/>
        </w:rPr>
        <w:t>альних зборах розпочинається</w:t>
      </w:r>
      <w:r w:rsidR="0067558C">
        <w:rPr>
          <w:lang w:val="uk-UA"/>
        </w:rPr>
        <w:t xml:space="preserve"> </w:t>
      </w:r>
      <w:r w:rsidR="00585E42">
        <w:rPr>
          <w:lang w:val="uk-UA"/>
        </w:rPr>
        <w:t>0</w:t>
      </w:r>
      <w:r w:rsidR="00512BE7">
        <w:rPr>
          <w:lang w:val="uk-UA"/>
        </w:rPr>
        <w:t>1</w:t>
      </w:r>
      <w:r w:rsidR="00585E42">
        <w:rPr>
          <w:lang w:val="uk-UA"/>
        </w:rPr>
        <w:t xml:space="preserve"> грудня </w:t>
      </w:r>
      <w:r w:rsidR="004F1A0C" w:rsidRPr="00F64C64">
        <w:rPr>
          <w:lang w:val="uk-UA"/>
        </w:rPr>
        <w:t>2023</w:t>
      </w:r>
      <w:r w:rsidRPr="00F64C64">
        <w:rPr>
          <w:lang w:val="uk-UA"/>
        </w:rPr>
        <w:t xml:space="preserve"> року з моменту розміщення єдиного бюлетеня для голосування  на сторінці</w:t>
      </w:r>
      <w:r w:rsidR="00585E42">
        <w:rPr>
          <w:lang w:val="uk-UA"/>
        </w:rPr>
        <w:t xml:space="preserve"> </w:t>
      </w:r>
      <w:hyperlink r:id="rId8" w:history="1">
        <w:r w:rsidR="00585E42" w:rsidRPr="00585E42">
          <w:rPr>
            <w:rStyle w:val="a7"/>
            <w:color w:val="auto"/>
            <w:u w:val="none"/>
            <w:lang w:val="uk-UA"/>
          </w:rPr>
          <w:t>http://torgovydim.pat.ua</w:t>
        </w:r>
      </w:hyperlink>
      <w:r w:rsidR="00585E42" w:rsidRPr="00585E42">
        <w:rPr>
          <w:lang w:val="uk-UA"/>
        </w:rPr>
        <w:t xml:space="preserve"> </w:t>
      </w:r>
      <w:r w:rsidR="004F1A0C" w:rsidRPr="00F64C64">
        <w:rPr>
          <w:lang w:val="uk-UA"/>
        </w:rPr>
        <w:t>та завершується о 18 годині</w:t>
      </w:r>
      <w:r w:rsidR="005B0DBD">
        <w:rPr>
          <w:lang w:val="uk-UA"/>
        </w:rPr>
        <w:t xml:space="preserve"> 14</w:t>
      </w:r>
      <w:r w:rsidR="00585E42">
        <w:rPr>
          <w:lang w:val="uk-UA"/>
        </w:rPr>
        <w:t xml:space="preserve"> грудня </w:t>
      </w:r>
      <w:r w:rsidRPr="00F64C64">
        <w:rPr>
          <w:lang w:val="uk-UA"/>
        </w:rPr>
        <w:t>2023 року. Голосування на загальних зборах з питань порядку денного проводиться виключно з використанням єдино</w:t>
      </w:r>
      <w:r w:rsidR="004F1A0C" w:rsidRPr="00F64C64">
        <w:rPr>
          <w:lang w:val="uk-UA"/>
        </w:rPr>
        <w:t>го бюлетеня для голосування</w:t>
      </w:r>
      <w:r w:rsidRPr="00F64C64">
        <w:rPr>
          <w:lang w:val="uk-UA"/>
        </w:rPr>
        <w:t xml:space="preserve">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Голосування проводиться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</w:t>
      </w:r>
      <w:r w:rsidR="00A428F8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на дату складення переліку акціонерів, які мають право на участь у загальних зборах</w:t>
      </w:r>
      <w:r w:rsidR="00E57D27" w:rsidRPr="00F64C64">
        <w:rPr>
          <w:lang w:val="uk-UA"/>
        </w:rPr>
        <w:t xml:space="preserve"> акціонерів</w:t>
      </w:r>
      <w:r w:rsidRPr="00F64C64">
        <w:rPr>
          <w:lang w:val="uk-UA"/>
        </w:rPr>
        <w:t>. Кількість голосів акціонера в бюлетені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>.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лише один бюлетень для голосування з одних і тих самих питань порядку денного.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У разі, якщо акціонер має рахунки в цінних паперах в декількох депозитарних установах, на яких обліковуються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кожна із депозитарних установ приймає бюлетені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Бюлетень, що був отриманий депозитарною установою після завершення часу, відведеного на голосування, вважається таким, що не поданий.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Бюлетені для голосування на загальних зборах засвідчується одним з наступних способів за вибором акціонера: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1) за допомогою кваліфікованого електронного підпису акціонера (його представника);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2) нотаріально, за умови підписання бюлетеня в присутності нотаріуса або посадової особи, яка вчиняє нотаріальні дії;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3) депозитарною установою,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за умови підписання бюлетеня в присутності уповноваженої особи депозитарної установи.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Кожен аркуш бюлетеня підписується акціонером (представником акціонера), окрім випадків засвідчення бюлетеня кваліфікованим електронним підписом акціонера (його представника).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У випадку подання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Представником акціонера на загальних зборах</w:t>
      </w:r>
      <w:r w:rsidR="00337CDB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Посадові особи органів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та їх афілійовані особи не можуть бути представниками інших акціонерів</w:t>
      </w:r>
      <w:r w:rsidR="00C14E3C" w:rsidRPr="00F64C64">
        <w:rPr>
          <w:lang w:val="uk-UA"/>
        </w:rPr>
        <w:t xml:space="preserve"> даного товариства </w:t>
      </w:r>
      <w:r w:rsidRPr="00F64C64">
        <w:rPr>
          <w:lang w:val="uk-UA"/>
        </w:rPr>
        <w:t>на загальних зборах</w:t>
      </w:r>
      <w:r w:rsidR="00C14E3C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>.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Акціонер має право призначити свого представника постійно або на певний строк.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Довіреність на право участі та голосування на загальних зборах </w:t>
      </w:r>
      <w:r w:rsidR="00C14E3C" w:rsidRPr="00F64C64">
        <w:rPr>
          <w:lang w:val="uk-UA"/>
        </w:rPr>
        <w:t>акціонерів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порядку, встановленому чинним законодавством України.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Довіреність на право участі та голосування на загальних зборах</w:t>
      </w:r>
      <w:r w:rsidR="001B19A1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від імені юридичної особи видається її органом або іншою особою, уповноваженою на це її установчими документами.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 Довіреність на право участі та голосування на загальних зборах</w:t>
      </w:r>
      <w:r w:rsidR="001B19A1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 Якщо </w:t>
      </w:r>
      <w:r w:rsidRPr="00F64C64">
        <w:rPr>
          <w:lang w:val="uk-UA"/>
        </w:rPr>
        <w:lastRenderedPageBreak/>
        <w:t xml:space="preserve">довіреність не містить завдання щодо голосування, представник вирішує всі питання щодо голосування на загальних зборах на свій розсуд.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має право видати довіреність на право участі та голосування на загальних зборах</w:t>
      </w:r>
      <w:r w:rsidR="0003412C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декільком своїм представникам. Якщо направлення бюлетенів для голосування здійснили декілька представників акціонера, яким довіреність видана одночасно, для участі в зазначених зборах допускається той представник, який надав бюлетень першим.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Надання довіреності на право участі та голосування на загальних зборах </w:t>
      </w:r>
      <w:r w:rsidR="0003412C" w:rsidRPr="00F64C64">
        <w:rPr>
          <w:lang w:val="uk-UA"/>
        </w:rPr>
        <w:t xml:space="preserve">акціонерів </w:t>
      </w:r>
      <w:r w:rsidRPr="00F64C64">
        <w:rPr>
          <w:lang w:val="uk-UA"/>
        </w:rPr>
        <w:t xml:space="preserve">не виключає право участі на цих зборах акціонера, який видав довіреність, замість свого представника.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має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</w:t>
      </w:r>
      <w:r w:rsidR="0003412C" w:rsidRPr="00F64C64">
        <w:rPr>
          <w:lang w:val="uk-UA"/>
        </w:rPr>
        <w:t xml:space="preserve"> акціонерів</w:t>
      </w:r>
      <w:r w:rsidRPr="00F64C64">
        <w:rPr>
          <w:lang w:val="uk-UA"/>
        </w:rPr>
        <w:t>, повідомивши про це</w:t>
      </w:r>
      <w:r w:rsidR="00EB032F" w:rsidRPr="00F64C64">
        <w:rPr>
          <w:lang w:val="uk-UA"/>
        </w:rPr>
        <w:t xml:space="preserve"> Товариство </w:t>
      </w:r>
      <w:r w:rsidRPr="00F64C64">
        <w:rPr>
          <w:lang w:val="uk-UA"/>
        </w:rPr>
        <w:t>та депозитарну установу,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або взяти участь у загальних зборах </w:t>
      </w:r>
      <w:r w:rsidR="0003412C" w:rsidRPr="00F64C64">
        <w:rPr>
          <w:lang w:val="uk-UA"/>
        </w:rPr>
        <w:t xml:space="preserve">акціонерів </w:t>
      </w:r>
      <w:r w:rsidRPr="00F64C64">
        <w:rPr>
          <w:lang w:val="uk-UA"/>
        </w:rPr>
        <w:t xml:space="preserve">особисто.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Повідомлення акціонером про заміну або відкликання свого представника може здійснюватися за допомогою засобів електронного зв</w:t>
      </w:r>
      <w:r w:rsidR="0003412C" w:rsidRPr="00F64C64">
        <w:rPr>
          <w:lang w:val="uk-UA"/>
        </w:rPr>
        <w:t>’</w:t>
      </w:r>
      <w:r w:rsidRPr="00F64C64">
        <w:rPr>
          <w:lang w:val="uk-UA"/>
        </w:rPr>
        <w:t xml:space="preserve">язку відповідно до законодавства про електронний документообіг.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Особам, яким депозитарною установою відкрито рахунок в цінних паперах на підставі договору з</w:t>
      </w:r>
      <w:r w:rsidR="00EB032F" w:rsidRPr="00F64C64">
        <w:rPr>
          <w:lang w:val="uk-UA"/>
        </w:rPr>
        <w:t xml:space="preserve"> Товариством</w:t>
      </w:r>
      <w:r w:rsidRPr="00F64C64">
        <w:rPr>
          <w:lang w:val="uk-UA"/>
        </w:rPr>
        <w:t>, необхідно укласти договір з депозитарною установою для забезпечення реалізації права на участь у дистанційних загальних зборах акціонерів</w:t>
      </w:r>
      <w:r w:rsidR="00EB032F" w:rsidRPr="00F64C64">
        <w:rPr>
          <w:lang w:val="uk-UA"/>
        </w:rPr>
        <w:t xml:space="preserve"> Товариства</w:t>
      </w:r>
      <w:r w:rsidR="00204223" w:rsidRPr="00F64C64">
        <w:rPr>
          <w:lang w:val="uk-UA"/>
        </w:rPr>
        <w:t>.</w:t>
      </w:r>
    </w:p>
    <w:p w:rsidR="004712E9" w:rsidRPr="00F64C64" w:rsidRDefault="004712E9" w:rsidP="00B709BF">
      <w:pPr>
        <w:ind w:firstLine="400"/>
        <w:jc w:val="both"/>
        <w:rPr>
          <w:lang w:val="uk-UA"/>
        </w:rPr>
      </w:pPr>
    </w:p>
    <w:p w:rsidR="005A7DFF" w:rsidRPr="00F64C64" w:rsidRDefault="00E3102E" w:rsidP="00B709BF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  <w:r w:rsidRPr="00F64C64">
        <w:rPr>
          <w:b/>
          <w:bCs/>
          <w:lang w:val="uk-UA"/>
        </w:rPr>
        <w:t>ОСНОВНІ ПОКАЗНИКИ ФІНАНСОВО-ГОСПОДАРСЬКОЇ ДІЯЛЬНОСТІ</w:t>
      </w:r>
      <w:r w:rsidR="005A7DFF" w:rsidRPr="00F64C64">
        <w:rPr>
          <w:b/>
          <w:bCs/>
          <w:lang w:val="uk-UA"/>
        </w:rPr>
        <w:t xml:space="preserve"> </w:t>
      </w:r>
    </w:p>
    <w:p w:rsidR="005A7DFF" w:rsidRPr="00F64C64" w:rsidRDefault="00585E42" w:rsidP="00B709BF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="005A7DFF" w:rsidRPr="00F64C64">
        <w:rPr>
          <w:b/>
          <w:bCs/>
          <w:lang w:val="uk-UA"/>
        </w:rPr>
        <w:t xml:space="preserve">АТ </w:t>
      </w:r>
      <w:r>
        <w:rPr>
          <w:b/>
          <w:bCs/>
          <w:lang w:val="uk-UA"/>
        </w:rPr>
        <w:t xml:space="preserve">ТД </w:t>
      </w:r>
      <w:r w:rsidR="005A7DFF" w:rsidRPr="00F64C64">
        <w:rPr>
          <w:b/>
          <w:bCs/>
          <w:lang w:val="uk-UA"/>
        </w:rPr>
        <w:t>«</w:t>
      </w:r>
      <w:r>
        <w:rPr>
          <w:b/>
          <w:bCs/>
          <w:lang w:val="uk-UA"/>
        </w:rPr>
        <w:t>УКРАЇНА</w:t>
      </w:r>
      <w:r w:rsidR="005A7DFF" w:rsidRPr="00F64C64">
        <w:rPr>
          <w:b/>
          <w:bCs/>
          <w:lang w:val="uk-UA"/>
        </w:rPr>
        <w:t>»</w:t>
      </w:r>
    </w:p>
    <w:p w:rsidR="00E3102E" w:rsidRPr="00F64C64" w:rsidRDefault="00E3102E" w:rsidP="00B709BF">
      <w:pPr>
        <w:autoSpaceDE w:val="0"/>
        <w:autoSpaceDN w:val="0"/>
        <w:adjustRightInd w:val="0"/>
        <w:jc w:val="right"/>
        <w:rPr>
          <w:lang w:val="uk-UA"/>
        </w:rPr>
      </w:pPr>
      <w:r w:rsidRPr="00F64C64">
        <w:rPr>
          <w:lang w:val="uk-UA"/>
        </w:rPr>
        <w:t>(тис.</w:t>
      </w:r>
      <w:r w:rsidR="006F267B" w:rsidRPr="00F64C64">
        <w:rPr>
          <w:lang w:val="uk-UA"/>
        </w:rPr>
        <w:t xml:space="preserve"> </w:t>
      </w:r>
      <w:r w:rsidRPr="00F64C64">
        <w:rPr>
          <w:lang w:val="uk-UA"/>
        </w:rPr>
        <w:t>грн.)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39"/>
        <w:gridCol w:w="1441"/>
        <w:gridCol w:w="1441"/>
      </w:tblGrid>
      <w:tr w:rsidR="000A4863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0A4863" w:rsidP="00B709BF">
            <w:pPr>
              <w:jc w:val="center"/>
              <w:rPr>
                <w:b/>
                <w:bCs/>
                <w:lang w:val="uk-UA"/>
              </w:rPr>
            </w:pPr>
            <w:r w:rsidRPr="00F64C64">
              <w:rPr>
                <w:rStyle w:val="a4"/>
                <w:lang w:val="uk-UA"/>
              </w:rPr>
              <w:t>Найменування показника</w:t>
            </w:r>
          </w:p>
        </w:tc>
        <w:tc>
          <w:tcPr>
            <w:tcW w:w="2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0A4863" w:rsidP="00B709B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F64C64">
              <w:rPr>
                <w:rStyle w:val="a4"/>
              </w:rPr>
              <w:t>ПЕРІОД</w:t>
            </w:r>
          </w:p>
        </w:tc>
      </w:tr>
      <w:tr w:rsidR="000A4863" w:rsidRPr="00F64C64" w:rsidTr="00AC4A51">
        <w:trPr>
          <w:trHeight w:val="198"/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0A4863" w:rsidP="00B709BF">
            <w:pPr>
              <w:pStyle w:val="a6"/>
              <w:rPr>
                <w:lang w:val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AC4A51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 xml:space="preserve">Попередній </w:t>
            </w:r>
            <w:r w:rsidR="000A4863" w:rsidRPr="00F64C64">
              <w:rPr>
                <w:lang w:val="uk-UA"/>
              </w:rPr>
              <w:t>20</w:t>
            </w:r>
            <w:r w:rsidR="00F64516" w:rsidRPr="00F64C64">
              <w:rPr>
                <w:lang w:val="uk-UA"/>
              </w:rPr>
              <w:t>2</w:t>
            </w:r>
            <w:r w:rsidR="004D5949" w:rsidRPr="00F64C64">
              <w:rPr>
                <w:lang w:val="uk-UA"/>
              </w:rPr>
              <w:t>1</w:t>
            </w:r>
            <w:r w:rsidR="000A4863" w:rsidRPr="00F64C64">
              <w:rPr>
                <w:lang w:val="uk-UA"/>
              </w:rPr>
              <w:t xml:space="preserve"> р.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AC4A51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Звітний</w:t>
            </w:r>
          </w:p>
          <w:p w:rsidR="000A4863" w:rsidRPr="00F64C64" w:rsidRDefault="000A4863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20</w:t>
            </w:r>
            <w:r w:rsidR="004D5949" w:rsidRPr="00F64C64">
              <w:rPr>
                <w:lang w:val="uk-UA"/>
              </w:rPr>
              <w:t>2</w:t>
            </w:r>
            <w:r w:rsidR="00AC4A51" w:rsidRPr="00F64C64">
              <w:rPr>
                <w:lang w:val="uk-UA"/>
              </w:rPr>
              <w:t>2</w:t>
            </w:r>
            <w:r w:rsidRPr="00F64C64">
              <w:rPr>
                <w:lang w:val="uk-UA"/>
              </w:rPr>
              <w:t xml:space="preserve"> р.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1. Усього активів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A657AA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24297.3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A657AA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24293,6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2. Основні засоби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6695,7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6695,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3. Довгострокові фінансові інвестиції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4. Запаси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5. Сумарна дебіторська заборгованість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17597.8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17594,1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6. Грошові кошти та їх еквіваленти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1,3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7. Нерозподілений прибуток (непокритий збиток)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2513,2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2471,1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8. Власний капітал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F80C54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3309,9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3267,8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9. Статутний капітал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750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750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10. Довгострокові зобов’язання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11. Поточні зобов’язання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20987,4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21025,8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12. Чистий прибуток (збиток)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-42,1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F80C5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-43,7</w:t>
            </w:r>
          </w:p>
        </w:tc>
      </w:tr>
    </w:tbl>
    <w:p w:rsidR="005A7DFF" w:rsidRPr="00F64C64" w:rsidRDefault="00F948E4" w:rsidP="00F948E4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Директор</w:t>
      </w:r>
    </w:p>
    <w:p w:rsidR="006169E9" w:rsidRPr="00F64C64" w:rsidRDefault="006169E9" w:rsidP="00B709BF">
      <w:pPr>
        <w:jc w:val="right"/>
        <w:rPr>
          <w:b/>
          <w:lang w:val="en-US"/>
        </w:rPr>
      </w:pPr>
    </w:p>
    <w:sectPr w:rsidR="006169E9" w:rsidRPr="00F64C64" w:rsidSect="006F267B">
      <w:footerReference w:type="default" r:id="rId9"/>
      <w:pgSz w:w="11906" w:h="16838" w:code="9"/>
      <w:pgMar w:top="567" w:right="567" w:bottom="567" w:left="1418" w:header="283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5E" w:rsidRDefault="00E80C5E" w:rsidP="005A7DFF">
      <w:r>
        <w:separator/>
      </w:r>
    </w:p>
  </w:endnote>
  <w:endnote w:type="continuationSeparator" w:id="0">
    <w:p w:rsidR="00E80C5E" w:rsidRDefault="00E80C5E" w:rsidP="005A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638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03406" w:rsidRPr="00603406" w:rsidRDefault="002252A9">
        <w:pPr>
          <w:pStyle w:val="af"/>
          <w:jc w:val="center"/>
          <w:rPr>
            <w:sz w:val="16"/>
            <w:szCs w:val="16"/>
          </w:rPr>
        </w:pPr>
        <w:r w:rsidRPr="00603406">
          <w:rPr>
            <w:sz w:val="16"/>
            <w:szCs w:val="16"/>
          </w:rPr>
          <w:fldChar w:fldCharType="begin"/>
        </w:r>
        <w:r w:rsidR="00603406" w:rsidRPr="00603406">
          <w:rPr>
            <w:sz w:val="16"/>
            <w:szCs w:val="16"/>
          </w:rPr>
          <w:instrText>PAGE   \* MERGEFORMAT</w:instrText>
        </w:r>
        <w:r w:rsidRPr="00603406">
          <w:rPr>
            <w:sz w:val="16"/>
            <w:szCs w:val="16"/>
          </w:rPr>
          <w:fldChar w:fldCharType="separate"/>
        </w:r>
        <w:r w:rsidR="00F948E4" w:rsidRPr="00F948E4">
          <w:rPr>
            <w:noProof/>
            <w:sz w:val="16"/>
            <w:szCs w:val="16"/>
            <w:lang w:val="uk-UA"/>
          </w:rPr>
          <w:t>4</w:t>
        </w:r>
        <w:r w:rsidRPr="00603406">
          <w:rPr>
            <w:sz w:val="16"/>
            <w:szCs w:val="16"/>
          </w:rPr>
          <w:fldChar w:fldCharType="end"/>
        </w:r>
      </w:p>
    </w:sdtContent>
  </w:sdt>
  <w:p w:rsidR="00603406" w:rsidRPr="00603406" w:rsidRDefault="00603406">
    <w:pPr>
      <w:pStyle w:val="af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5E" w:rsidRDefault="00E80C5E" w:rsidP="005A7DFF">
      <w:r>
        <w:separator/>
      </w:r>
    </w:p>
  </w:footnote>
  <w:footnote w:type="continuationSeparator" w:id="0">
    <w:p w:rsidR="00E80C5E" w:rsidRDefault="00E80C5E" w:rsidP="005A7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12C548"/>
    <w:name w:val="WW8Num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02005ACE"/>
    <w:multiLevelType w:val="hybridMultilevel"/>
    <w:tmpl w:val="E3C24294"/>
    <w:lvl w:ilvl="0" w:tplc="9BF6CC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390CAF"/>
    <w:multiLevelType w:val="hybridMultilevel"/>
    <w:tmpl w:val="9876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7331"/>
    <w:multiLevelType w:val="hybridMultilevel"/>
    <w:tmpl w:val="5F000418"/>
    <w:lvl w:ilvl="0" w:tplc="C21C5B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61B38B6"/>
    <w:multiLevelType w:val="hybridMultilevel"/>
    <w:tmpl w:val="24646134"/>
    <w:lvl w:ilvl="0" w:tplc="88E63F7E">
      <w:start w:val="12"/>
      <w:numFmt w:val="bullet"/>
      <w:lvlText w:val="-"/>
      <w:lvlJc w:val="left"/>
      <w:pPr>
        <w:ind w:left="1068" w:hanging="360"/>
      </w:pPr>
      <w:rPr>
        <w:rFonts w:ascii="Times New Roman CYR" w:eastAsia="Times New Roman" w:hAnsi="Times New Roman CYR" w:cs="Times New Roman CY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CF24F3"/>
    <w:multiLevelType w:val="hybridMultilevel"/>
    <w:tmpl w:val="E5E2B668"/>
    <w:lvl w:ilvl="0" w:tplc="5F2E01B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F23"/>
    <w:multiLevelType w:val="hybridMultilevel"/>
    <w:tmpl w:val="26A4B5DE"/>
    <w:lvl w:ilvl="0" w:tplc="68C2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45D90"/>
    <w:multiLevelType w:val="hybridMultilevel"/>
    <w:tmpl w:val="30F0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18BD"/>
    <w:multiLevelType w:val="hybridMultilevel"/>
    <w:tmpl w:val="64A6B88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2E839C7"/>
    <w:multiLevelType w:val="hybridMultilevel"/>
    <w:tmpl w:val="04E08860"/>
    <w:lvl w:ilvl="0" w:tplc="333CEF7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55DAA"/>
    <w:multiLevelType w:val="hybridMultilevel"/>
    <w:tmpl w:val="9876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95D57"/>
    <w:multiLevelType w:val="hybridMultilevel"/>
    <w:tmpl w:val="F4FAD1D8"/>
    <w:lvl w:ilvl="0" w:tplc="40BA85C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23A"/>
    <w:rsid w:val="000075E9"/>
    <w:rsid w:val="000265A2"/>
    <w:rsid w:val="00030850"/>
    <w:rsid w:val="0003412C"/>
    <w:rsid w:val="00035BF3"/>
    <w:rsid w:val="00036CCA"/>
    <w:rsid w:val="00041149"/>
    <w:rsid w:val="000413F0"/>
    <w:rsid w:val="00045F8A"/>
    <w:rsid w:val="00050F10"/>
    <w:rsid w:val="00060919"/>
    <w:rsid w:val="00084A79"/>
    <w:rsid w:val="000A3FBD"/>
    <w:rsid w:val="000A4863"/>
    <w:rsid w:val="000B1E13"/>
    <w:rsid w:val="000B3274"/>
    <w:rsid w:val="000B7BA2"/>
    <w:rsid w:val="000C3BC4"/>
    <w:rsid w:val="000C4F1E"/>
    <w:rsid w:val="000D1AE0"/>
    <w:rsid w:val="000D5BC9"/>
    <w:rsid w:val="000E0C61"/>
    <w:rsid w:val="000F0617"/>
    <w:rsid w:val="000F34A8"/>
    <w:rsid w:val="000F6853"/>
    <w:rsid w:val="000F73C8"/>
    <w:rsid w:val="00122092"/>
    <w:rsid w:val="00124549"/>
    <w:rsid w:val="001256B3"/>
    <w:rsid w:val="001264E3"/>
    <w:rsid w:val="0013063D"/>
    <w:rsid w:val="001353CF"/>
    <w:rsid w:val="00136A1C"/>
    <w:rsid w:val="00140E17"/>
    <w:rsid w:val="00141FA5"/>
    <w:rsid w:val="001447D8"/>
    <w:rsid w:val="0015523A"/>
    <w:rsid w:val="00156BCF"/>
    <w:rsid w:val="00160741"/>
    <w:rsid w:val="00170F1D"/>
    <w:rsid w:val="0017617A"/>
    <w:rsid w:val="00177F86"/>
    <w:rsid w:val="00183878"/>
    <w:rsid w:val="001958CA"/>
    <w:rsid w:val="001965CB"/>
    <w:rsid w:val="001A0B24"/>
    <w:rsid w:val="001A0EF4"/>
    <w:rsid w:val="001A5C09"/>
    <w:rsid w:val="001B113D"/>
    <w:rsid w:val="001B19A1"/>
    <w:rsid w:val="001B370B"/>
    <w:rsid w:val="001B3E0A"/>
    <w:rsid w:val="001C63B3"/>
    <w:rsid w:val="001D0DE7"/>
    <w:rsid w:val="001D2295"/>
    <w:rsid w:val="001E1C45"/>
    <w:rsid w:val="001E3054"/>
    <w:rsid w:val="001F132D"/>
    <w:rsid w:val="001F39DC"/>
    <w:rsid w:val="001F4592"/>
    <w:rsid w:val="001F6BBB"/>
    <w:rsid w:val="00204223"/>
    <w:rsid w:val="0022247C"/>
    <w:rsid w:val="00223234"/>
    <w:rsid w:val="00223569"/>
    <w:rsid w:val="00223A7A"/>
    <w:rsid w:val="00223D17"/>
    <w:rsid w:val="002252A9"/>
    <w:rsid w:val="002312A0"/>
    <w:rsid w:val="0023623A"/>
    <w:rsid w:val="002456B4"/>
    <w:rsid w:val="002476A3"/>
    <w:rsid w:val="0025102F"/>
    <w:rsid w:val="00255443"/>
    <w:rsid w:val="0025717F"/>
    <w:rsid w:val="00257FDD"/>
    <w:rsid w:val="002600F2"/>
    <w:rsid w:val="00261E71"/>
    <w:rsid w:val="00267104"/>
    <w:rsid w:val="00277B8D"/>
    <w:rsid w:val="0028358F"/>
    <w:rsid w:val="002835E1"/>
    <w:rsid w:val="00286F74"/>
    <w:rsid w:val="00292255"/>
    <w:rsid w:val="00292747"/>
    <w:rsid w:val="002937C0"/>
    <w:rsid w:val="00293999"/>
    <w:rsid w:val="002962FE"/>
    <w:rsid w:val="00296F2A"/>
    <w:rsid w:val="002A3578"/>
    <w:rsid w:val="002B054E"/>
    <w:rsid w:val="002C2C5C"/>
    <w:rsid w:val="002D025C"/>
    <w:rsid w:val="002D1689"/>
    <w:rsid w:val="002D208E"/>
    <w:rsid w:val="002D2773"/>
    <w:rsid w:val="002E06CF"/>
    <w:rsid w:val="002E3E7B"/>
    <w:rsid w:val="002E7CD7"/>
    <w:rsid w:val="002F5649"/>
    <w:rsid w:val="002F6846"/>
    <w:rsid w:val="002F7B0B"/>
    <w:rsid w:val="0030349B"/>
    <w:rsid w:val="0030794C"/>
    <w:rsid w:val="00313CB6"/>
    <w:rsid w:val="003150AF"/>
    <w:rsid w:val="00322F62"/>
    <w:rsid w:val="00327978"/>
    <w:rsid w:val="0033222B"/>
    <w:rsid w:val="00337AF5"/>
    <w:rsid w:val="00337CDB"/>
    <w:rsid w:val="003474FD"/>
    <w:rsid w:val="003479A8"/>
    <w:rsid w:val="003531B1"/>
    <w:rsid w:val="003554FE"/>
    <w:rsid w:val="003565F4"/>
    <w:rsid w:val="00361809"/>
    <w:rsid w:val="0036273C"/>
    <w:rsid w:val="0036387E"/>
    <w:rsid w:val="00366258"/>
    <w:rsid w:val="00366757"/>
    <w:rsid w:val="00372BAC"/>
    <w:rsid w:val="00382409"/>
    <w:rsid w:val="00385F11"/>
    <w:rsid w:val="00387BEC"/>
    <w:rsid w:val="00390753"/>
    <w:rsid w:val="00397CA4"/>
    <w:rsid w:val="003A38A0"/>
    <w:rsid w:val="003A39C9"/>
    <w:rsid w:val="003B4F7D"/>
    <w:rsid w:val="003C735B"/>
    <w:rsid w:val="003D458D"/>
    <w:rsid w:val="003E681E"/>
    <w:rsid w:val="004015ED"/>
    <w:rsid w:val="0041119D"/>
    <w:rsid w:val="00412A8B"/>
    <w:rsid w:val="00421AAE"/>
    <w:rsid w:val="00424C49"/>
    <w:rsid w:val="0042506F"/>
    <w:rsid w:val="0043336C"/>
    <w:rsid w:val="0044491C"/>
    <w:rsid w:val="0045058D"/>
    <w:rsid w:val="00453452"/>
    <w:rsid w:val="00453E59"/>
    <w:rsid w:val="004712E9"/>
    <w:rsid w:val="00473A26"/>
    <w:rsid w:val="0047676A"/>
    <w:rsid w:val="00485F61"/>
    <w:rsid w:val="004A2D53"/>
    <w:rsid w:val="004B1766"/>
    <w:rsid w:val="004B260F"/>
    <w:rsid w:val="004B3801"/>
    <w:rsid w:val="004C2B75"/>
    <w:rsid w:val="004D1430"/>
    <w:rsid w:val="004D270F"/>
    <w:rsid w:val="004D5949"/>
    <w:rsid w:val="004E228E"/>
    <w:rsid w:val="004F1A0C"/>
    <w:rsid w:val="004F255A"/>
    <w:rsid w:val="004F27A8"/>
    <w:rsid w:val="004F4CD5"/>
    <w:rsid w:val="004F550D"/>
    <w:rsid w:val="0050477E"/>
    <w:rsid w:val="00512BE7"/>
    <w:rsid w:val="00514F53"/>
    <w:rsid w:val="0051640D"/>
    <w:rsid w:val="00516594"/>
    <w:rsid w:val="00520EE9"/>
    <w:rsid w:val="00526BD0"/>
    <w:rsid w:val="00531B89"/>
    <w:rsid w:val="0053799E"/>
    <w:rsid w:val="00540794"/>
    <w:rsid w:val="0054415D"/>
    <w:rsid w:val="00550EBA"/>
    <w:rsid w:val="00556ED4"/>
    <w:rsid w:val="0056085C"/>
    <w:rsid w:val="00565846"/>
    <w:rsid w:val="005671E3"/>
    <w:rsid w:val="00570DC1"/>
    <w:rsid w:val="00572994"/>
    <w:rsid w:val="00572D9F"/>
    <w:rsid w:val="00581343"/>
    <w:rsid w:val="0058387E"/>
    <w:rsid w:val="00585E42"/>
    <w:rsid w:val="005909F9"/>
    <w:rsid w:val="005A2329"/>
    <w:rsid w:val="005A7DFF"/>
    <w:rsid w:val="005B0DBD"/>
    <w:rsid w:val="005B11F4"/>
    <w:rsid w:val="005B1BCA"/>
    <w:rsid w:val="005B4042"/>
    <w:rsid w:val="005D1FFA"/>
    <w:rsid w:val="005D273A"/>
    <w:rsid w:val="005E2AA0"/>
    <w:rsid w:val="005F3BFC"/>
    <w:rsid w:val="005F49A4"/>
    <w:rsid w:val="006033C0"/>
    <w:rsid w:val="00603406"/>
    <w:rsid w:val="00613327"/>
    <w:rsid w:val="00613A3B"/>
    <w:rsid w:val="0061652E"/>
    <w:rsid w:val="006169E9"/>
    <w:rsid w:val="00620FC7"/>
    <w:rsid w:val="00626138"/>
    <w:rsid w:val="00627C1B"/>
    <w:rsid w:val="00630D7E"/>
    <w:rsid w:val="00634C63"/>
    <w:rsid w:val="006369E5"/>
    <w:rsid w:val="006419C1"/>
    <w:rsid w:val="00645221"/>
    <w:rsid w:val="006454B8"/>
    <w:rsid w:val="00652F29"/>
    <w:rsid w:val="00653E3F"/>
    <w:rsid w:val="00656922"/>
    <w:rsid w:val="00656975"/>
    <w:rsid w:val="006676A1"/>
    <w:rsid w:val="0067041B"/>
    <w:rsid w:val="0067558C"/>
    <w:rsid w:val="00686179"/>
    <w:rsid w:val="00687436"/>
    <w:rsid w:val="00691B7D"/>
    <w:rsid w:val="00696665"/>
    <w:rsid w:val="006A1351"/>
    <w:rsid w:val="006A179C"/>
    <w:rsid w:val="006A3EF9"/>
    <w:rsid w:val="006A4E64"/>
    <w:rsid w:val="006A5BF3"/>
    <w:rsid w:val="006A7CED"/>
    <w:rsid w:val="006C24BE"/>
    <w:rsid w:val="006D1998"/>
    <w:rsid w:val="006D370A"/>
    <w:rsid w:val="006D471C"/>
    <w:rsid w:val="006E0AB3"/>
    <w:rsid w:val="006E5707"/>
    <w:rsid w:val="006F22F9"/>
    <w:rsid w:val="006F25ED"/>
    <w:rsid w:val="006F267B"/>
    <w:rsid w:val="006F49D9"/>
    <w:rsid w:val="006F712A"/>
    <w:rsid w:val="00701DE2"/>
    <w:rsid w:val="00711AB2"/>
    <w:rsid w:val="0071643B"/>
    <w:rsid w:val="00716901"/>
    <w:rsid w:val="0071775C"/>
    <w:rsid w:val="00720006"/>
    <w:rsid w:val="0072530D"/>
    <w:rsid w:val="007255AC"/>
    <w:rsid w:val="00733CCF"/>
    <w:rsid w:val="00743092"/>
    <w:rsid w:val="007456EE"/>
    <w:rsid w:val="00752964"/>
    <w:rsid w:val="0075549D"/>
    <w:rsid w:val="0076542B"/>
    <w:rsid w:val="0076599B"/>
    <w:rsid w:val="00766989"/>
    <w:rsid w:val="007674F4"/>
    <w:rsid w:val="00776DB8"/>
    <w:rsid w:val="00781773"/>
    <w:rsid w:val="00784463"/>
    <w:rsid w:val="007A2826"/>
    <w:rsid w:val="007A5F1E"/>
    <w:rsid w:val="007D1EE4"/>
    <w:rsid w:val="007D2EA4"/>
    <w:rsid w:val="007D5A47"/>
    <w:rsid w:val="007D6720"/>
    <w:rsid w:val="007D773B"/>
    <w:rsid w:val="007E203B"/>
    <w:rsid w:val="007F58EE"/>
    <w:rsid w:val="00802D86"/>
    <w:rsid w:val="00814092"/>
    <w:rsid w:val="00817E38"/>
    <w:rsid w:val="0083640F"/>
    <w:rsid w:val="008409B3"/>
    <w:rsid w:val="00841975"/>
    <w:rsid w:val="00855314"/>
    <w:rsid w:val="00863CFA"/>
    <w:rsid w:val="00866D13"/>
    <w:rsid w:val="00867171"/>
    <w:rsid w:val="00877C47"/>
    <w:rsid w:val="008811B1"/>
    <w:rsid w:val="008919AA"/>
    <w:rsid w:val="008A1D66"/>
    <w:rsid w:val="008A51D0"/>
    <w:rsid w:val="008D329B"/>
    <w:rsid w:val="008E6E6A"/>
    <w:rsid w:val="008E7A46"/>
    <w:rsid w:val="008F26D8"/>
    <w:rsid w:val="00907802"/>
    <w:rsid w:val="00911F63"/>
    <w:rsid w:val="009153F8"/>
    <w:rsid w:val="00925885"/>
    <w:rsid w:val="00931E24"/>
    <w:rsid w:val="0093361F"/>
    <w:rsid w:val="0093544B"/>
    <w:rsid w:val="00946AAE"/>
    <w:rsid w:val="00951E35"/>
    <w:rsid w:val="0095740A"/>
    <w:rsid w:val="009618BD"/>
    <w:rsid w:val="0096383E"/>
    <w:rsid w:val="00974849"/>
    <w:rsid w:val="00977CBA"/>
    <w:rsid w:val="0099248F"/>
    <w:rsid w:val="009955B9"/>
    <w:rsid w:val="009958E3"/>
    <w:rsid w:val="009A2AD0"/>
    <w:rsid w:val="009A57D3"/>
    <w:rsid w:val="009A5978"/>
    <w:rsid w:val="009A6E7E"/>
    <w:rsid w:val="009B4778"/>
    <w:rsid w:val="009B56CD"/>
    <w:rsid w:val="009C3AC6"/>
    <w:rsid w:val="009E2A73"/>
    <w:rsid w:val="009F2974"/>
    <w:rsid w:val="009F56AF"/>
    <w:rsid w:val="00A12003"/>
    <w:rsid w:val="00A24303"/>
    <w:rsid w:val="00A2798F"/>
    <w:rsid w:val="00A31A3C"/>
    <w:rsid w:val="00A335CD"/>
    <w:rsid w:val="00A34213"/>
    <w:rsid w:val="00A428F8"/>
    <w:rsid w:val="00A46546"/>
    <w:rsid w:val="00A52EB9"/>
    <w:rsid w:val="00A5400A"/>
    <w:rsid w:val="00A56B3D"/>
    <w:rsid w:val="00A60F31"/>
    <w:rsid w:val="00A657AA"/>
    <w:rsid w:val="00A73960"/>
    <w:rsid w:val="00AA764E"/>
    <w:rsid w:val="00AB00C3"/>
    <w:rsid w:val="00AB2554"/>
    <w:rsid w:val="00AC247C"/>
    <w:rsid w:val="00AC4A51"/>
    <w:rsid w:val="00AC5876"/>
    <w:rsid w:val="00AC5E9E"/>
    <w:rsid w:val="00AE1974"/>
    <w:rsid w:val="00AE3E96"/>
    <w:rsid w:val="00AE4963"/>
    <w:rsid w:val="00B05CC5"/>
    <w:rsid w:val="00B10218"/>
    <w:rsid w:val="00B10CA4"/>
    <w:rsid w:val="00B13733"/>
    <w:rsid w:val="00B17F78"/>
    <w:rsid w:val="00B24F5A"/>
    <w:rsid w:val="00B25CDD"/>
    <w:rsid w:val="00B30132"/>
    <w:rsid w:val="00B30205"/>
    <w:rsid w:val="00B355A4"/>
    <w:rsid w:val="00B40D74"/>
    <w:rsid w:val="00B53870"/>
    <w:rsid w:val="00B61617"/>
    <w:rsid w:val="00B67B49"/>
    <w:rsid w:val="00B709BF"/>
    <w:rsid w:val="00B71299"/>
    <w:rsid w:val="00B8207A"/>
    <w:rsid w:val="00B863BC"/>
    <w:rsid w:val="00B9229C"/>
    <w:rsid w:val="00BA04E1"/>
    <w:rsid w:val="00BA383C"/>
    <w:rsid w:val="00BA4227"/>
    <w:rsid w:val="00BA60EB"/>
    <w:rsid w:val="00BB00AB"/>
    <w:rsid w:val="00BB1136"/>
    <w:rsid w:val="00BC0A42"/>
    <w:rsid w:val="00BC39F8"/>
    <w:rsid w:val="00BD3B46"/>
    <w:rsid w:val="00BE5218"/>
    <w:rsid w:val="00BE59F4"/>
    <w:rsid w:val="00BE5EE3"/>
    <w:rsid w:val="00C00C1D"/>
    <w:rsid w:val="00C02003"/>
    <w:rsid w:val="00C05689"/>
    <w:rsid w:val="00C06D9A"/>
    <w:rsid w:val="00C1406B"/>
    <w:rsid w:val="00C14E3C"/>
    <w:rsid w:val="00C17F26"/>
    <w:rsid w:val="00C21ED1"/>
    <w:rsid w:val="00C252DF"/>
    <w:rsid w:val="00C32DD9"/>
    <w:rsid w:val="00C34263"/>
    <w:rsid w:val="00C5216C"/>
    <w:rsid w:val="00C526DD"/>
    <w:rsid w:val="00C55962"/>
    <w:rsid w:val="00C62779"/>
    <w:rsid w:val="00C80532"/>
    <w:rsid w:val="00C96637"/>
    <w:rsid w:val="00C977BF"/>
    <w:rsid w:val="00C978A6"/>
    <w:rsid w:val="00CB60EA"/>
    <w:rsid w:val="00CB7066"/>
    <w:rsid w:val="00CC132B"/>
    <w:rsid w:val="00CC7283"/>
    <w:rsid w:val="00CD1B8C"/>
    <w:rsid w:val="00CE03D3"/>
    <w:rsid w:val="00CE0652"/>
    <w:rsid w:val="00CE4D1D"/>
    <w:rsid w:val="00CF7AD4"/>
    <w:rsid w:val="00D06E36"/>
    <w:rsid w:val="00D174C2"/>
    <w:rsid w:val="00D20E0A"/>
    <w:rsid w:val="00D6210B"/>
    <w:rsid w:val="00D6343B"/>
    <w:rsid w:val="00D82F98"/>
    <w:rsid w:val="00D87EB7"/>
    <w:rsid w:val="00D90758"/>
    <w:rsid w:val="00D93C1A"/>
    <w:rsid w:val="00DB31BD"/>
    <w:rsid w:val="00DB7616"/>
    <w:rsid w:val="00DC00D2"/>
    <w:rsid w:val="00DD26DD"/>
    <w:rsid w:val="00DD7DFC"/>
    <w:rsid w:val="00DE3836"/>
    <w:rsid w:val="00DE78FA"/>
    <w:rsid w:val="00E0144D"/>
    <w:rsid w:val="00E025E3"/>
    <w:rsid w:val="00E02826"/>
    <w:rsid w:val="00E03189"/>
    <w:rsid w:val="00E10993"/>
    <w:rsid w:val="00E116CB"/>
    <w:rsid w:val="00E16600"/>
    <w:rsid w:val="00E20608"/>
    <w:rsid w:val="00E3102E"/>
    <w:rsid w:val="00E31978"/>
    <w:rsid w:val="00E379C4"/>
    <w:rsid w:val="00E50CE2"/>
    <w:rsid w:val="00E547ED"/>
    <w:rsid w:val="00E57D27"/>
    <w:rsid w:val="00E65161"/>
    <w:rsid w:val="00E71523"/>
    <w:rsid w:val="00E76AA5"/>
    <w:rsid w:val="00E80C5E"/>
    <w:rsid w:val="00EA0453"/>
    <w:rsid w:val="00EB032F"/>
    <w:rsid w:val="00EB5E17"/>
    <w:rsid w:val="00EC4F6F"/>
    <w:rsid w:val="00ED558D"/>
    <w:rsid w:val="00EE65DF"/>
    <w:rsid w:val="00EE6BE5"/>
    <w:rsid w:val="00EE7765"/>
    <w:rsid w:val="00EF0F64"/>
    <w:rsid w:val="00EF6C2B"/>
    <w:rsid w:val="00F01145"/>
    <w:rsid w:val="00F014C5"/>
    <w:rsid w:val="00F018B6"/>
    <w:rsid w:val="00F0536A"/>
    <w:rsid w:val="00F1299E"/>
    <w:rsid w:val="00F14960"/>
    <w:rsid w:val="00F20F5C"/>
    <w:rsid w:val="00F26A06"/>
    <w:rsid w:val="00F358F3"/>
    <w:rsid w:val="00F37507"/>
    <w:rsid w:val="00F42D0E"/>
    <w:rsid w:val="00F47AB7"/>
    <w:rsid w:val="00F55A5F"/>
    <w:rsid w:val="00F64516"/>
    <w:rsid w:val="00F64C64"/>
    <w:rsid w:val="00F66EBF"/>
    <w:rsid w:val="00F71748"/>
    <w:rsid w:val="00F76088"/>
    <w:rsid w:val="00F80C54"/>
    <w:rsid w:val="00F8235C"/>
    <w:rsid w:val="00F833D9"/>
    <w:rsid w:val="00F9106B"/>
    <w:rsid w:val="00F948E4"/>
    <w:rsid w:val="00F955CD"/>
    <w:rsid w:val="00F955E7"/>
    <w:rsid w:val="00FA7153"/>
    <w:rsid w:val="00FB0355"/>
    <w:rsid w:val="00FC160E"/>
    <w:rsid w:val="00FC3BF5"/>
    <w:rsid w:val="00FC5CD1"/>
    <w:rsid w:val="00FC6378"/>
    <w:rsid w:val="00FD0B22"/>
    <w:rsid w:val="00FD131E"/>
    <w:rsid w:val="00FD2992"/>
    <w:rsid w:val="00FE0C37"/>
    <w:rsid w:val="00FE6809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BF"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72000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6">
    <w:name w:val="heading 6"/>
    <w:basedOn w:val="a"/>
    <w:next w:val="a"/>
    <w:qFormat/>
    <w:rsid w:val="005441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6"/>
    <w:rsid w:val="0054415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132B"/>
    <w:pPr>
      <w:ind w:left="720"/>
      <w:contextualSpacing/>
    </w:pPr>
  </w:style>
  <w:style w:type="character" w:styleId="a4">
    <w:name w:val="Strong"/>
    <w:qFormat/>
    <w:rsid w:val="00720006"/>
    <w:rPr>
      <w:b/>
      <w:bCs/>
    </w:rPr>
  </w:style>
  <w:style w:type="paragraph" w:styleId="a5">
    <w:name w:val="Normal (Web)"/>
    <w:basedOn w:val="a"/>
    <w:rsid w:val="00720006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0B3274"/>
  </w:style>
  <w:style w:type="character" w:customStyle="1" w:styleId="20">
    <w:name w:val="Заголовок 2 Знак"/>
    <w:link w:val="2"/>
    <w:rsid w:val="00C02003"/>
    <w:rPr>
      <w:b/>
      <w:bCs/>
      <w:sz w:val="36"/>
      <w:szCs w:val="36"/>
      <w:lang w:val="uk-UA" w:eastAsia="uk-UA"/>
    </w:rPr>
  </w:style>
  <w:style w:type="paragraph" w:styleId="a6">
    <w:name w:val="No Spacing"/>
    <w:uiPriority w:val="1"/>
    <w:qFormat/>
    <w:rsid w:val="00781773"/>
    <w:rPr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A120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33C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033C0"/>
    <w:rPr>
      <w:rFonts w:ascii="Segoe UI" w:hAnsi="Segoe UI" w:cs="Segoe UI"/>
      <w:sz w:val="18"/>
      <w:szCs w:val="18"/>
    </w:rPr>
  </w:style>
  <w:style w:type="character" w:styleId="aa">
    <w:name w:val="FollowedHyperlink"/>
    <w:uiPriority w:val="99"/>
    <w:semiHidden/>
    <w:unhideWhenUsed/>
    <w:rsid w:val="00D6210B"/>
    <w:rPr>
      <w:color w:val="800080"/>
      <w:u w:val="single"/>
    </w:rPr>
  </w:style>
  <w:style w:type="character" w:customStyle="1" w:styleId="rvts0">
    <w:name w:val="rvts0"/>
    <w:rsid w:val="006454B8"/>
  </w:style>
  <w:style w:type="paragraph" w:customStyle="1" w:styleId="10">
    <w:name w:val="Знак Знак Знак1 Знак"/>
    <w:basedOn w:val="a"/>
    <w:rsid w:val="00A5400A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A5400A"/>
    <w:pPr>
      <w:jc w:val="center"/>
    </w:pPr>
    <w:rPr>
      <w:b/>
      <w:sz w:val="28"/>
      <w:szCs w:val="20"/>
      <w:lang w:val="uk-UA"/>
    </w:rPr>
  </w:style>
  <w:style w:type="character" w:customStyle="1" w:styleId="ac">
    <w:name w:val="Название Знак"/>
    <w:link w:val="ab"/>
    <w:rsid w:val="00A5400A"/>
    <w:rPr>
      <w:b/>
      <w:sz w:val="28"/>
      <w:lang w:val="uk-UA"/>
    </w:rPr>
  </w:style>
  <w:style w:type="paragraph" w:styleId="ad">
    <w:name w:val="header"/>
    <w:basedOn w:val="a"/>
    <w:link w:val="ae"/>
    <w:uiPriority w:val="99"/>
    <w:unhideWhenUsed/>
    <w:rsid w:val="005A7D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7DFF"/>
    <w:rPr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5A7D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7DFF"/>
    <w:rPr>
      <w:sz w:val="24"/>
      <w:szCs w:val="24"/>
      <w:lang w:val="ru-RU" w:eastAsia="ru-RU"/>
    </w:rPr>
  </w:style>
  <w:style w:type="paragraph" w:customStyle="1" w:styleId="af1">
    <w:basedOn w:val="a"/>
    <w:next w:val="ab"/>
    <w:qFormat/>
    <w:rsid w:val="00A2798F"/>
    <w:pPr>
      <w:jc w:val="center"/>
    </w:pPr>
    <w:rPr>
      <w:b/>
      <w:sz w:val="28"/>
      <w:szCs w:val="20"/>
      <w:lang w:val="uk-UA"/>
    </w:rPr>
  </w:style>
  <w:style w:type="paragraph" w:customStyle="1" w:styleId="11">
    <w:name w:val="Знак Знак Знак1 Знак"/>
    <w:basedOn w:val="a"/>
    <w:rsid w:val="00A2798F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85E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ovydim.pat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6003-E356-4665-95DE-73348F61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2012</Words>
  <Characters>11470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дати та порядку денного чергових річних Загальних зборів ПАТ „МЛФ” у 2012 році</vt:lpstr>
      <vt:lpstr>Про затвердження дати та порядку денного чергових річних Загальних зборів ПАТ „МЛФ” у 2012 році</vt:lpstr>
    </vt:vector>
  </TitlesOfParts>
  <Company>fm</Company>
  <LinksUpToDate>false</LinksUpToDate>
  <CharactersWithSpaces>13456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http://zaktara2001.pat.ua/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дати та порядку денного чергових річних Загальних зборів ПАТ „МЛФ” у 2012 році</dc:title>
  <dc:creator>user</dc:creator>
  <cp:lastModifiedBy>hp</cp:lastModifiedBy>
  <cp:revision>2</cp:revision>
  <cp:lastPrinted>2023-02-03T12:45:00Z</cp:lastPrinted>
  <dcterms:created xsi:type="dcterms:W3CDTF">2023-11-08T15:29:00Z</dcterms:created>
  <dcterms:modified xsi:type="dcterms:W3CDTF">2023-11-08T15:29:00Z</dcterms:modified>
</cp:coreProperties>
</file>